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E42D6" w14:textId="6A1CF976" w:rsidR="00365A31" w:rsidRPr="00B266B0" w:rsidRDefault="00365A31" w:rsidP="00365A3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60859">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A09BA">
        <w:rPr>
          <w:bCs/>
          <w:noProof w:val="0"/>
          <w:sz w:val="24"/>
          <w:szCs w:val="24"/>
        </w:rPr>
        <w:t>0</w:t>
      </w:r>
      <w:r w:rsidR="00E91F31">
        <w:rPr>
          <w:bCs/>
          <w:noProof w:val="0"/>
          <w:sz w:val="24"/>
          <w:szCs w:val="24"/>
        </w:rPr>
        <w:t>7273</w:t>
      </w:r>
    </w:p>
    <w:p w14:paraId="5E16D4B9" w14:textId="5A1FDF27" w:rsidR="00365A31" w:rsidRPr="00465587" w:rsidRDefault="00960859" w:rsidP="00365A31">
      <w:pPr>
        <w:pStyle w:val="Header"/>
        <w:tabs>
          <w:tab w:val="right" w:pos="9639"/>
        </w:tabs>
        <w:rPr>
          <w:rFonts w:eastAsia="SimSun"/>
          <w:bCs/>
          <w:sz w:val="24"/>
          <w:szCs w:val="24"/>
          <w:lang w:eastAsia="zh-CN"/>
        </w:rPr>
      </w:pPr>
      <w:r>
        <w:rPr>
          <w:rFonts w:eastAsia="SimSun"/>
          <w:bCs/>
          <w:sz w:val="24"/>
          <w:szCs w:val="24"/>
          <w:lang w:eastAsia="zh-CN"/>
        </w:rPr>
        <w:t>Reno</w:t>
      </w:r>
      <w:r w:rsidR="00365A31" w:rsidRPr="00465587">
        <w:rPr>
          <w:rFonts w:eastAsia="SimSun"/>
          <w:bCs/>
          <w:sz w:val="24"/>
          <w:szCs w:val="24"/>
          <w:lang w:eastAsia="zh-CN"/>
        </w:rPr>
        <w:t xml:space="preserve">, </w:t>
      </w:r>
      <w:r>
        <w:rPr>
          <w:rFonts w:eastAsia="SimSun"/>
          <w:bCs/>
          <w:sz w:val="24"/>
          <w:szCs w:val="24"/>
          <w:lang w:eastAsia="zh-CN"/>
        </w:rPr>
        <w:t>USA</w:t>
      </w:r>
      <w:r w:rsidR="00365A31" w:rsidRPr="00465587">
        <w:rPr>
          <w:rFonts w:eastAsia="SimSun"/>
          <w:bCs/>
          <w:sz w:val="24"/>
          <w:szCs w:val="24"/>
          <w:lang w:eastAsia="zh-CN"/>
        </w:rPr>
        <w:t xml:space="preserve">, </w:t>
      </w:r>
      <w:r>
        <w:rPr>
          <w:rFonts w:cs="Arial"/>
          <w:bCs/>
          <w:sz w:val="22"/>
        </w:rPr>
        <w:t>13th</w:t>
      </w:r>
      <w:r w:rsidR="00365A31">
        <w:rPr>
          <w:rFonts w:cs="Arial"/>
          <w:bCs/>
          <w:sz w:val="22"/>
        </w:rPr>
        <w:t xml:space="preserve"> – 1</w:t>
      </w:r>
      <w:r>
        <w:rPr>
          <w:rFonts w:cs="Arial"/>
          <w:bCs/>
          <w:sz w:val="22"/>
        </w:rPr>
        <w:t>7th</w:t>
      </w:r>
      <w:r w:rsidR="00365A31">
        <w:rPr>
          <w:rFonts w:cs="Arial"/>
          <w:bCs/>
          <w:sz w:val="22"/>
        </w:rPr>
        <w:t xml:space="preserve"> </w:t>
      </w:r>
      <w:r>
        <w:rPr>
          <w:rFonts w:cs="Arial"/>
          <w:bCs/>
          <w:sz w:val="22"/>
        </w:rPr>
        <w:t>of May</w:t>
      </w:r>
      <w:r w:rsidR="00365A31" w:rsidRPr="004D1605">
        <w:rPr>
          <w:rFonts w:cs="Arial"/>
          <w:bCs/>
          <w:sz w:val="22"/>
        </w:rPr>
        <w:t xml:space="preserve"> 201</w:t>
      </w:r>
      <w:r w:rsidR="00365A31">
        <w:rPr>
          <w:rFonts w:cs="Arial"/>
          <w:bCs/>
          <w:sz w:val="22"/>
        </w:rPr>
        <w:t>9</w:t>
      </w:r>
      <w:r w:rsidR="00365A31">
        <w:rPr>
          <w:rFonts w:eastAsia="SimSun"/>
          <w:noProof w:val="0"/>
          <w:sz w:val="24"/>
          <w:szCs w:val="24"/>
          <w:lang w:eastAsia="zh-CN"/>
        </w:rPr>
        <w:tab/>
      </w:r>
      <w:r w:rsidR="00365A31" w:rsidRPr="0019129B">
        <w:rPr>
          <w:rFonts w:eastAsia="SimSun"/>
          <w:i/>
          <w:noProof w:val="0"/>
          <w:sz w:val="16"/>
          <w:szCs w:val="16"/>
          <w:lang w:eastAsia="zh-CN"/>
        </w:rPr>
        <w:t>Re</w:t>
      </w:r>
      <w:r w:rsidR="008C6E4D">
        <w:rPr>
          <w:rFonts w:eastAsia="SimSun"/>
          <w:i/>
          <w:noProof w:val="0"/>
          <w:sz w:val="16"/>
          <w:szCs w:val="16"/>
          <w:lang w:eastAsia="zh-CN"/>
        </w:rPr>
        <w:t>submission</w:t>
      </w:r>
      <w:r w:rsidR="00365A31" w:rsidRPr="0019129B">
        <w:rPr>
          <w:rFonts w:eastAsia="SimSun"/>
          <w:i/>
          <w:noProof w:val="0"/>
          <w:sz w:val="16"/>
          <w:szCs w:val="16"/>
          <w:lang w:eastAsia="zh-CN"/>
        </w:rPr>
        <w:t xml:space="preserve"> of R2-19</w:t>
      </w:r>
      <w:r w:rsidR="00BE77B8">
        <w:rPr>
          <w:rFonts w:eastAsia="SimSun"/>
          <w:i/>
          <w:noProof w:val="0"/>
          <w:sz w:val="16"/>
          <w:szCs w:val="16"/>
          <w:lang w:eastAsia="zh-CN"/>
        </w:rPr>
        <w:t>0</w:t>
      </w:r>
      <w:r w:rsidR="008C6E4D">
        <w:rPr>
          <w:rFonts w:eastAsia="SimSun"/>
          <w:i/>
          <w:noProof w:val="0"/>
          <w:sz w:val="16"/>
          <w:szCs w:val="16"/>
          <w:lang w:eastAsia="zh-CN"/>
        </w:rPr>
        <w:t>4282</w:t>
      </w:r>
    </w:p>
    <w:p w14:paraId="2CEB93E7" w14:textId="77777777" w:rsidR="00365A31" w:rsidRPr="00B266B0" w:rsidRDefault="00365A31" w:rsidP="00365A31">
      <w:pPr>
        <w:pStyle w:val="Header"/>
        <w:rPr>
          <w:bCs/>
          <w:noProof w:val="0"/>
          <w:sz w:val="24"/>
        </w:rPr>
      </w:pPr>
    </w:p>
    <w:p w14:paraId="6495BE76" w14:textId="77777777" w:rsidR="00365A31" w:rsidRPr="00B266B0" w:rsidRDefault="00365A31" w:rsidP="00365A31">
      <w:pPr>
        <w:pStyle w:val="Header"/>
        <w:rPr>
          <w:bCs/>
          <w:noProof w:val="0"/>
          <w:sz w:val="24"/>
        </w:rPr>
      </w:pPr>
    </w:p>
    <w:p w14:paraId="5FB8A1E3" w14:textId="0318CD3E" w:rsidR="00365A31" w:rsidRPr="00B266B0" w:rsidRDefault="00365A31" w:rsidP="00365A3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77B8">
        <w:rPr>
          <w:rFonts w:cs="Arial"/>
          <w:b/>
          <w:bCs/>
          <w:sz w:val="24"/>
          <w:lang w:eastAsia="ja-JP"/>
        </w:rPr>
        <w:t>12.3.2.1</w:t>
      </w:r>
    </w:p>
    <w:p w14:paraId="49276651" w14:textId="77777777" w:rsidR="00365A31" w:rsidRPr="00B266B0" w:rsidRDefault="00365A31" w:rsidP="00365A3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1E18371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1FA9">
        <w:rPr>
          <w:rFonts w:ascii="Arial" w:hAnsi="Arial" w:cs="Arial"/>
          <w:b/>
          <w:bCs/>
          <w:sz w:val="24"/>
        </w:rPr>
        <w:t>S</w:t>
      </w:r>
      <w:r w:rsidR="00B01FA9" w:rsidRPr="00B01FA9">
        <w:rPr>
          <w:rFonts w:ascii="Arial" w:hAnsi="Arial" w:cs="Arial"/>
          <w:b/>
          <w:bCs/>
          <w:sz w:val="24"/>
        </w:rPr>
        <w:t xml:space="preserve">imultaneous connectivity </w:t>
      </w:r>
      <w:r w:rsidR="00A93544">
        <w:rPr>
          <w:rFonts w:ascii="Arial" w:hAnsi="Arial" w:cs="Arial"/>
          <w:b/>
          <w:bCs/>
          <w:sz w:val="24"/>
        </w:rPr>
        <w:t>h</w:t>
      </w:r>
      <w:r w:rsidR="00747767">
        <w:rPr>
          <w:rFonts w:ascii="Arial" w:hAnsi="Arial" w:cs="Arial"/>
          <w:b/>
          <w:bCs/>
          <w:sz w:val="24"/>
        </w:rPr>
        <w:t xml:space="preserve">andover with </w:t>
      </w:r>
      <w:r w:rsidR="00077114">
        <w:rPr>
          <w:rFonts w:ascii="Arial" w:hAnsi="Arial" w:cs="Arial"/>
          <w:b/>
          <w:bCs/>
          <w:sz w:val="24"/>
        </w:rPr>
        <w:t>single uplink operation</w:t>
      </w:r>
    </w:p>
    <w:p w14:paraId="3AC3A0B1" w14:textId="7A6EF3E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67EC" w:rsidRPr="00FF3ADB">
        <w:rPr>
          <w:rFonts w:ascii="Arial" w:hAnsi="Arial" w:cs="Arial"/>
          <w:b/>
          <w:bCs/>
          <w:sz w:val="24"/>
        </w:rPr>
        <w:t>LTE_feMob</w:t>
      </w:r>
      <w:proofErr w:type="spellEnd"/>
      <w:r w:rsidR="007767EC" w:rsidRPr="00FF3ADB">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767EC">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bookmarkStart w:id="0" w:name="_GoBack"/>
      <w:bookmarkEnd w:id="0"/>
      <w:r w:rsidRPr="006E13D1">
        <w:t>1</w:t>
      </w:r>
      <w:r w:rsidRPr="006E13D1">
        <w:tab/>
      </w:r>
      <w:r w:rsidR="0056573F">
        <w:t>Introduction</w:t>
      </w:r>
    </w:p>
    <w:p w14:paraId="2584F385" w14:textId="71B93C1D" w:rsidR="003960B3" w:rsidRPr="00052E9F" w:rsidRDefault="00BE77B8" w:rsidP="00052E9F">
      <w:pPr>
        <w:pStyle w:val="Doc-text2"/>
        <w:ind w:left="0" w:firstLine="0"/>
        <w:rPr>
          <w:rFonts w:ascii="Times New Roman" w:hAnsi="Times New Roman" w:cs="Times New Roman"/>
        </w:rPr>
      </w:pPr>
      <w:r>
        <w:rPr>
          <w:rFonts w:ascii="Times New Roman" w:hAnsi="Times New Roman" w:cs="Times New Roman"/>
        </w:rPr>
        <w:t>RAN1 and RAN4 i</w:t>
      </w:r>
      <w:r w:rsidR="00EF5ADA">
        <w:rPr>
          <w:rFonts w:ascii="Times New Roman" w:hAnsi="Times New Roman" w:cs="Times New Roman"/>
        </w:rPr>
        <w:t xml:space="preserve">n </w:t>
      </w:r>
      <w:r w:rsidR="0009666A">
        <w:rPr>
          <w:rFonts w:ascii="Times New Roman" w:hAnsi="Times New Roman" w:cs="Times New Roman"/>
        </w:rPr>
        <w:t xml:space="preserve">their replies </w:t>
      </w:r>
      <w:r w:rsidR="0009666A">
        <w:rPr>
          <w:rFonts w:ascii="Times New Roman" w:hAnsi="Times New Roman" w:cs="Times New Roman"/>
        </w:rPr>
        <w:fldChar w:fldCharType="begin"/>
      </w:r>
      <w:r w:rsidR="0009666A">
        <w:rPr>
          <w:rFonts w:ascii="Times New Roman" w:hAnsi="Times New Roman" w:cs="Times New Roman"/>
        </w:rPr>
        <w:instrText xml:space="preserve"> REF _Ref3551405 \r \h </w:instrText>
      </w:r>
      <w:r w:rsidR="0009666A">
        <w:rPr>
          <w:rFonts w:ascii="Times New Roman" w:hAnsi="Times New Roman" w:cs="Times New Roman"/>
        </w:rPr>
      </w:r>
      <w:r w:rsidR="0009666A">
        <w:rPr>
          <w:rFonts w:ascii="Times New Roman" w:hAnsi="Times New Roman" w:cs="Times New Roman"/>
        </w:rPr>
        <w:fldChar w:fldCharType="separate"/>
      </w:r>
      <w:r w:rsidR="0009666A">
        <w:rPr>
          <w:rFonts w:ascii="Times New Roman" w:hAnsi="Times New Roman" w:cs="Times New Roman"/>
        </w:rPr>
        <w:t>[4]</w:t>
      </w:r>
      <w:r w:rsidR="0009666A">
        <w:rPr>
          <w:rFonts w:ascii="Times New Roman" w:hAnsi="Times New Roman" w:cs="Times New Roman"/>
        </w:rPr>
        <w:fldChar w:fldCharType="end"/>
      </w:r>
      <w:r w:rsidR="0009666A">
        <w:rPr>
          <w:rFonts w:ascii="Times New Roman" w:hAnsi="Times New Roman" w:cs="Times New Roman"/>
        </w:rPr>
        <w:t xml:space="preserve"> and </w:t>
      </w:r>
      <w:r w:rsidR="0009666A">
        <w:rPr>
          <w:rFonts w:ascii="Times New Roman" w:hAnsi="Times New Roman" w:cs="Times New Roman"/>
        </w:rPr>
        <w:fldChar w:fldCharType="begin"/>
      </w:r>
      <w:r w:rsidR="0009666A">
        <w:rPr>
          <w:rFonts w:ascii="Times New Roman" w:hAnsi="Times New Roman" w:cs="Times New Roman"/>
        </w:rPr>
        <w:instrText xml:space="preserve"> REF _Ref3551431 \r \h </w:instrText>
      </w:r>
      <w:r w:rsidR="0009666A">
        <w:rPr>
          <w:rFonts w:ascii="Times New Roman" w:hAnsi="Times New Roman" w:cs="Times New Roman"/>
        </w:rPr>
      </w:r>
      <w:r w:rsidR="0009666A">
        <w:rPr>
          <w:rFonts w:ascii="Times New Roman" w:hAnsi="Times New Roman" w:cs="Times New Roman"/>
        </w:rPr>
        <w:fldChar w:fldCharType="separate"/>
      </w:r>
      <w:r w:rsidR="0009666A">
        <w:rPr>
          <w:rFonts w:ascii="Times New Roman" w:hAnsi="Times New Roman" w:cs="Times New Roman"/>
        </w:rPr>
        <w:t>[5]</w:t>
      </w:r>
      <w:r w:rsidR="0009666A">
        <w:rPr>
          <w:rFonts w:ascii="Times New Roman" w:hAnsi="Times New Roman" w:cs="Times New Roman"/>
        </w:rPr>
        <w:fldChar w:fldCharType="end"/>
      </w:r>
      <w:r w:rsidR="0009666A">
        <w:rPr>
          <w:rFonts w:ascii="Times New Roman" w:hAnsi="Times New Roman" w:cs="Times New Roman"/>
        </w:rPr>
        <w:t xml:space="preserve"> to RAN2’s LS, have stated that there are circumstances where simultaneous uplink transmissions in the same subframe have to be avoided. </w:t>
      </w:r>
      <w:r w:rsidR="003960B3">
        <w:rPr>
          <w:rFonts w:ascii="Times New Roman" w:hAnsi="Times New Roman" w:cs="Times New Roman"/>
        </w:rPr>
        <w:t xml:space="preserve">This paper outlines </w:t>
      </w:r>
      <w:r w:rsidR="008E4B10">
        <w:rPr>
          <w:rFonts w:ascii="Times New Roman" w:hAnsi="Times New Roman" w:cs="Times New Roman"/>
        </w:rPr>
        <w:t xml:space="preserve">how single uplink operation can be applied to LTE’s simultaneous connectivity HO. </w:t>
      </w:r>
    </w:p>
    <w:p w14:paraId="127ACA6D" w14:textId="2C3E366F" w:rsidR="00CD4C7B" w:rsidRPr="006E13D1" w:rsidRDefault="00CD4C7B" w:rsidP="00CD4C7B">
      <w:pPr>
        <w:pStyle w:val="Heading1"/>
      </w:pPr>
      <w:r w:rsidRPr="006E13D1">
        <w:t>2</w:t>
      </w:r>
      <w:r w:rsidRPr="006E13D1">
        <w:tab/>
      </w:r>
      <w:r w:rsidR="00F33077">
        <w:t>Review of single uplink operation</w:t>
      </w:r>
      <w:r w:rsidR="000C5A93">
        <w:t xml:space="preserve"> (SUO)</w:t>
      </w:r>
    </w:p>
    <w:p w14:paraId="3AA6E3D8" w14:textId="0393D0E8" w:rsidR="00571C63" w:rsidRDefault="0026462D" w:rsidP="0009666A">
      <w:pPr>
        <w:ind w:left="284"/>
      </w:pPr>
      <w:r>
        <w:t xml:space="preserve">The Single Uplink Operation was discussed quite a bit during the </w:t>
      </w:r>
      <w:r w:rsidR="00715818">
        <w:t>EN-DC</w:t>
      </w:r>
      <w:r w:rsidR="00F33077">
        <w:t xml:space="preserve"> </w:t>
      </w:r>
      <w:r>
        <w:t xml:space="preserve">standardization </w:t>
      </w:r>
      <w:r w:rsidR="00F33077">
        <w:t>in Rel</w:t>
      </w:r>
      <w:r>
        <w:t>-</w:t>
      </w:r>
      <w:r w:rsidR="00715818">
        <w:t>15</w:t>
      </w:r>
      <w:r w:rsidR="00F33077">
        <w:t xml:space="preserve">. Because of </w:t>
      </w:r>
      <w:r>
        <w:t xml:space="preserve">UL </w:t>
      </w:r>
      <w:r w:rsidR="00F33077">
        <w:t xml:space="preserve">intermodulation </w:t>
      </w:r>
      <w:r w:rsidR="00AF7A1C">
        <w:t xml:space="preserve">causing interference to DL reception </w:t>
      </w:r>
      <w:r w:rsidR="00F33077">
        <w:t xml:space="preserve">in specific band combinations, </w:t>
      </w:r>
      <w:r w:rsidR="00AF7A1C">
        <w:t xml:space="preserve">it was decided to allow </w:t>
      </w:r>
      <w:r w:rsidR="00F33077">
        <w:t xml:space="preserve">“single uplink operation” </w:t>
      </w:r>
      <w:r w:rsidR="00AF7A1C">
        <w:t>for certain (FDD) band combinations if certain frequency allocations are used</w:t>
      </w:r>
      <w:r w:rsidR="00F33077">
        <w:t>. The target was to avoid that the UE sends uplink signals to MCG and to SCG simultaneously</w:t>
      </w:r>
      <w:r w:rsidR="00AF7A1C">
        <w:t xml:space="preserve"> using the “problematic” frequency combinations by having UE only use a single uplink in a TDM fashion</w:t>
      </w:r>
      <w:r w:rsidR="00F33077">
        <w:t>. We try to summarize the components of this solution:</w:t>
      </w:r>
    </w:p>
    <w:p w14:paraId="639C7688" w14:textId="24912798" w:rsidR="00F33077" w:rsidRDefault="00F33077" w:rsidP="00F33077">
      <w:pPr>
        <w:pStyle w:val="ListParagraph"/>
        <w:numPr>
          <w:ilvl w:val="0"/>
          <w:numId w:val="13"/>
        </w:numPr>
      </w:pPr>
      <w:r>
        <w:t xml:space="preserve">MCG </w:t>
      </w:r>
      <w:r w:rsidR="00AF7A1C">
        <w:t xml:space="preserve">decides whether to request SUO from </w:t>
      </w:r>
      <w:r>
        <w:t xml:space="preserve">SCG during </w:t>
      </w:r>
      <w:proofErr w:type="spellStart"/>
      <w:r w:rsidR="00715818" w:rsidRPr="00715818">
        <w:t>SgNB</w:t>
      </w:r>
      <w:proofErr w:type="spellEnd"/>
      <w:r w:rsidR="00715818" w:rsidRPr="00715818">
        <w:t xml:space="preserve"> Addition Request</w:t>
      </w:r>
      <w:r w:rsidR="00AF7A1C">
        <w:t>, which may result</w:t>
      </w:r>
      <w:r w:rsidR="000C5A93">
        <w:t xml:space="preserve"> non-overlapping </w:t>
      </w:r>
      <w:r w:rsidR="00572F0D">
        <w:t xml:space="preserve">(i.e. mutually exclusive) </w:t>
      </w:r>
      <w:r w:rsidR="000C5A93">
        <w:t>TDM</w:t>
      </w:r>
      <w:r w:rsidR="00AF7A1C">
        <w:t xml:space="preserve"> (and possibly also FDM)</w:t>
      </w:r>
      <w:r w:rsidR="000C5A93">
        <w:t xml:space="preserve"> patterns for the MCG and the SCG uplink</w:t>
      </w:r>
      <w:r w:rsidR="00AF7A1C">
        <w:t xml:space="preserve"> transmission opportunitie</w:t>
      </w:r>
      <w:r w:rsidR="000C5A93">
        <w:t>s.</w:t>
      </w:r>
    </w:p>
    <w:p w14:paraId="643A866E" w14:textId="4706EA8F" w:rsidR="000C5A93" w:rsidRDefault="000C5A93" w:rsidP="00F33077">
      <w:pPr>
        <w:pStyle w:val="ListParagraph"/>
        <w:numPr>
          <w:ilvl w:val="0"/>
          <w:numId w:val="13"/>
        </w:numPr>
      </w:pPr>
      <w:r>
        <w:t xml:space="preserve">Due to the synchronized HARQ on the LTE side, the HARQ timing </w:t>
      </w:r>
      <w:r w:rsidR="00AF7A1C">
        <w:t>uses the existing TDD patterns (with</w:t>
      </w:r>
      <w:r w:rsidR="00D32FF8">
        <w:t>i</w:t>
      </w:r>
      <w:r w:rsidR="00AF7A1C">
        <w:t>n offset also possible so the TDM pattern does not have to always start from subframe#0 like TDD pattern does) to achi</w:t>
      </w:r>
      <w:r w:rsidR="00D32FF8">
        <w:t>e</w:t>
      </w:r>
      <w:r w:rsidR="00AF7A1C">
        <w:t xml:space="preserve">ve the TDM required </w:t>
      </w:r>
      <w:r>
        <w:t xml:space="preserve">for SUO. This implies that </w:t>
      </w:r>
      <w:r w:rsidR="00572F0D">
        <w:t xml:space="preserve">the uplinks of the </w:t>
      </w:r>
      <w:r>
        <w:t xml:space="preserve">negotiated TDM pattern for the MCG </w:t>
      </w:r>
      <w:r w:rsidR="00AF7A1C">
        <w:t xml:space="preserve">are defined using </w:t>
      </w:r>
      <w:r w:rsidR="00572F0D">
        <w:t xml:space="preserve">the uplinks of </w:t>
      </w:r>
      <w:r>
        <w:t xml:space="preserve">an LTE TDD pattern, and the UE </w:t>
      </w:r>
      <w:r w:rsidR="00AF7A1C">
        <w:t>is</w:t>
      </w:r>
      <w:r>
        <w:t xml:space="preserve"> informed about this TD</w:t>
      </w:r>
      <w:r w:rsidR="00AF7A1C">
        <w:t>M</w:t>
      </w:r>
      <w:r>
        <w:t xml:space="preserve"> pattern</w:t>
      </w:r>
      <w:r w:rsidR="004F4778">
        <w:t xml:space="preserve"> </w:t>
      </w:r>
      <w:r w:rsidR="00AF7A1C">
        <w:t>via</w:t>
      </w:r>
      <w:r w:rsidR="004F4778">
        <w:t xml:space="preserve"> the </w:t>
      </w:r>
      <w:proofErr w:type="spellStart"/>
      <w:r w:rsidR="004F4778" w:rsidRPr="00FE4318">
        <w:rPr>
          <w:i/>
        </w:rPr>
        <w:t>RRCConnectionReconfiguration</w:t>
      </w:r>
      <w:proofErr w:type="spellEnd"/>
      <w:r w:rsidR="004F4778">
        <w:t>.</w:t>
      </w:r>
    </w:p>
    <w:p w14:paraId="63F518B2" w14:textId="13A82958" w:rsidR="004F4778" w:rsidRDefault="004F4778" w:rsidP="00F33077">
      <w:pPr>
        <w:pStyle w:val="ListParagraph"/>
        <w:numPr>
          <w:ilvl w:val="0"/>
          <w:numId w:val="13"/>
        </w:numPr>
      </w:pPr>
      <w:r>
        <w:t xml:space="preserve">In contrast to the TDD operation, the UE still </w:t>
      </w:r>
      <w:r w:rsidR="00AF7A1C">
        <w:t>continuously monitors</w:t>
      </w:r>
      <w:r>
        <w:t xml:space="preserve"> the downlink (i.e. the downlink can be </w:t>
      </w:r>
      <w:r w:rsidR="00AF7A1C">
        <w:t>scheduled at any time regardless of the UL TDM pattern</w:t>
      </w:r>
      <w:r>
        <w:t>), however it will only use the uplink timeslots for uplink transmission.</w:t>
      </w:r>
    </w:p>
    <w:p w14:paraId="53996963" w14:textId="59122A2C" w:rsidR="000C5A93" w:rsidRDefault="004F4778" w:rsidP="00F33077">
      <w:pPr>
        <w:pStyle w:val="ListParagraph"/>
        <w:numPr>
          <w:ilvl w:val="0"/>
          <w:numId w:val="13"/>
        </w:numPr>
      </w:pPr>
      <w:r>
        <w:t xml:space="preserve">Due to the more flexible HARQ solution in NR, </w:t>
      </w:r>
      <w:r w:rsidR="00C1206D">
        <w:t>no</w:t>
      </w:r>
      <w:r>
        <w:t xml:space="preserve"> explicit </w:t>
      </w:r>
      <w:r w:rsidR="00AF7A1C">
        <w:t>TDM pattern is signalled to</w:t>
      </w:r>
      <w:r>
        <w:t xml:space="preserve"> the UE on the NR side. The </w:t>
      </w:r>
      <w:proofErr w:type="spellStart"/>
      <w:r>
        <w:t>S</w:t>
      </w:r>
      <w:r w:rsidR="00D17614">
        <w:t>gNB</w:t>
      </w:r>
      <w:proofErr w:type="spellEnd"/>
      <w:r>
        <w:t xml:space="preserve"> configures and schedules the UE such that it will not transmit in the uplink timeslots of the TDD pattern which the MCG is using.</w:t>
      </w:r>
    </w:p>
    <w:p w14:paraId="19ECE59A" w14:textId="6AD5E63C" w:rsidR="00715818" w:rsidRDefault="004F4778" w:rsidP="004F4778">
      <w:r>
        <w:t xml:space="preserve">This is illustrated in </w:t>
      </w:r>
      <w:r w:rsidR="00B110E6">
        <w:fldChar w:fldCharType="begin"/>
      </w:r>
      <w:r w:rsidR="00B110E6">
        <w:instrText xml:space="preserve"> REF _Ref532543992 \h </w:instrText>
      </w:r>
      <w:r w:rsidR="00B110E6">
        <w:fldChar w:fldCharType="separate"/>
      </w:r>
      <w:r w:rsidR="00B110E6">
        <w:t xml:space="preserve">Figure </w:t>
      </w:r>
      <w:r w:rsidR="00B110E6">
        <w:rPr>
          <w:noProof/>
        </w:rPr>
        <w:t>1</w:t>
      </w:r>
      <w:r w:rsidR="00B110E6">
        <w:fldChar w:fldCharType="end"/>
      </w:r>
      <w:r w:rsidR="00BD130E">
        <w:t xml:space="preserve">. </w:t>
      </w:r>
      <w:proofErr w:type="spellStart"/>
      <w:r w:rsidR="00BD130E">
        <w:t>MeNB</w:t>
      </w:r>
      <w:proofErr w:type="spellEnd"/>
      <w:r w:rsidR="00BD130E">
        <w:t xml:space="preserve"> configures e.g. UL/DL configuration #</w:t>
      </w:r>
      <w:r w:rsidR="00A87555">
        <w:t>1</w:t>
      </w:r>
      <w:r w:rsidR="00BD130E">
        <w:t xml:space="preserve"> (which previously was </w:t>
      </w:r>
      <w:r w:rsidR="00195A07">
        <w:t>coordinated</w:t>
      </w:r>
      <w:r w:rsidR="00AF7A1C">
        <w:t xml:space="preserve"> </w:t>
      </w:r>
      <w:r w:rsidR="00BD130E">
        <w:t xml:space="preserve">with the </w:t>
      </w:r>
      <w:proofErr w:type="spellStart"/>
      <w:r w:rsidR="00BD130E">
        <w:t>SgNB</w:t>
      </w:r>
      <w:proofErr w:type="spellEnd"/>
      <w:r w:rsidR="00BD130E">
        <w:t xml:space="preserve">). UE will only use the </w:t>
      </w:r>
      <w:r w:rsidR="00B110E6">
        <w:t xml:space="preserve">(blue) </w:t>
      </w:r>
      <w:r w:rsidR="00BD130E">
        <w:t xml:space="preserve">uplink timeslots for the LTE MCG, and the others </w:t>
      </w:r>
      <w:r w:rsidR="00B110E6">
        <w:t xml:space="preserve">(red) </w:t>
      </w:r>
      <w:r w:rsidR="00BD130E">
        <w:t>for NR SCG.</w:t>
      </w:r>
      <w:r w:rsidR="00B110E6">
        <w:t xml:space="preserve"> Downlink can be continuous, i.e. both </w:t>
      </w:r>
      <w:proofErr w:type="spellStart"/>
      <w:r w:rsidR="00B110E6">
        <w:t>MeNB</w:t>
      </w:r>
      <w:proofErr w:type="spellEnd"/>
      <w:r w:rsidR="00B110E6">
        <w:t xml:space="preserve"> and </w:t>
      </w:r>
      <w:proofErr w:type="spellStart"/>
      <w:r w:rsidR="00B110E6">
        <w:t>SgNB</w:t>
      </w:r>
      <w:proofErr w:type="spellEnd"/>
      <w:r w:rsidR="00B110E6">
        <w:t xml:space="preserve"> can schedule all time slots for downlink.</w:t>
      </w:r>
      <w:r w:rsidR="00C1206D">
        <w:t xml:space="preserve"> Secondary </w:t>
      </w:r>
      <w:proofErr w:type="spellStart"/>
      <w:r w:rsidR="00C1206D">
        <w:t>gNB</w:t>
      </w:r>
      <w:proofErr w:type="spellEnd"/>
      <w:r w:rsidR="00C1206D">
        <w:t xml:space="preserve"> does not signal anything to the UE </w:t>
      </w:r>
      <w:r w:rsidR="00AF7A1C">
        <w:t xml:space="preserve">and will apply </w:t>
      </w:r>
      <w:r w:rsidR="00C1206D">
        <w:t>the constraints using the regular scheduling grants.</w:t>
      </w:r>
    </w:p>
    <w:p w14:paraId="2E216BB9" w14:textId="300BC4BB" w:rsidR="00B110E6" w:rsidRDefault="00A87555" w:rsidP="00B110E6">
      <w:pPr>
        <w:keepNext/>
        <w:jc w:val="center"/>
      </w:pPr>
      <w:r>
        <w:rPr>
          <w:noProof/>
        </w:rPr>
        <w:lastRenderedPageBreak/>
        <w:drawing>
          <wp:inline distT="0" distB="0" distL="0" distR="0" wp14:anchorId="0E658F3E" wp14:editId="34F71245">
            <wp:extent cx="5082067" cy="18702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57" cy="1878815"/>
                    </a:xfrm>
                    <a:prstGeom prst="rect">
                      <a:avLst/>
                    </a:prstGeom>
                    <a:noFill/>
                  </pic:spPr>
                </pic:pic>
              </a:graphicData>
            </a:graphic>
          </wp:inline>
        </w:drawing>
      </w:r>
    </w:p>
    <w:p w14:paraId="07ADDDCE" w14:textId="7D4046A3" w:rsidR="004F4778" w:rsidRDefault="00B110E6" w:rsidP="00B110E6">
      <w:pPr>
        <w:pStyle w:val="Caption"/>
        <w:jc w:val="center"/>
      </w:pPr>
      <w:bookmarkStart w:id="1" w:name="_Ref532543992"/>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1</w:t>
      </w:r>
      <w:r w:rsidR="005A6A03">
        <w:rPr>
          <w:noProof/>
        </w:rPr>
        <w:fldChar w:fldCharType="end"/>
      </w:r>
      <w:bookmarkEnd w:id="1"/>
      <w:r>
        <w:t xml:space="preserve"> EN-DC with single uplink operation</w:t>
      </w:r>
    </w:p>
    <w:p w14:paraId="0BCC70BB" w14:textId="1EC0B443" w:rsidR="00227075" w:rsidRPr="00572F0D" w:rsidRDefault="00227075" w:rsidP="00572F0D">
      <w:pPr>
        <w:keepNext/>
        <w:rPr>
          <w:b/>
        </w:rPr>
      </w:pPr>
      <w:r w:rsidRPr="00227075">
        <w:rPr>
          <w:b/>
        </w:rPr>
        <w:t xml:space="preserve">Proposal 1: The single uplink solution for EN-DC </w:t>
      </w:r>
      <w:r w:rsidR="00AF7A1C">
        <w:rPr>
          <w:b/>
        </w:rPr>
        <w:t xml:space="preserve">should </w:t>
      </w:r>
      <w:r w:rsidRPr="00227075">
        <w:rPr>
          <w:b/>
        </w:rPr>
        <w:t xml:space="preserve">be considered when discussing a single uplink solution for </w:t>
      </w:r>
      <w:r w:rsidR="00B01FA9">
        <w:rPr>
          <w:b/>
        </w:rPr>
        <w:t>simultaneous connectivity</w:t>
      </w:r>
      <w:r w:rsidR="00B01FA9" w:rsidRPr="00227075">
        <w:rPr>
          <w:b/>
        </w:rPr>
        <w:t xml:space="preserve"> </w:t>
      </w:r>
      <w:r w:rsidRPr="00227075">
        <w:rPr>
          <w:b/>
        </w:rPr>
        <w:t>handover.</w:t>
      </w:r>
    </w:p>
    <w:p w14:paraId="329D45B8" w14:textId="61D0275C" w:rsidR="00F33077" w:rsidRDefault="00C95C60" w:rsidP="00F33077">
      <w:pPr>
        <w:pStyle w:val="Heading1"/>
      </w:pPr>
      <w:r>
        <w:t>3</w:t>
      </w:r>
      <w:r w:rsidR="00F33077" w:rsidRPr="006E13D1">
        <w:tab/>
      </w:r>
      <w:r>
        <w:t xml:space="preserve">Solutions for </w:t>
      </w:r>
      <w:r w:rsidR="00B01FA9">
        <w:t xml:space="preserve">simultaneous connectivity </w:t>
      </w:r>
      <w:r>
        <w:t>handover</w:t>
      </w:r>
      <w:r w:rsidR="00B01FA9">
        <w:t xml:space="preserve"> </w:t>
      </w:r>
    </w:p>
    <w:p w14:paraId="457B3645" w14:textId="7B8002E1" w:rsidR="00DB6676" w:rsidRDefault="00BD130E" w:rsidP="00BD130E">
      <w:r>
        <w:t xml:space="preserve">A similar procedure is needed for the </w:t>
      </w:r>
      <w:r w:rsidR="00B01FA9" w:rsidRPr="00B01FA9">
        <w:t>simultaneous connectivity</w:t>
      </w:r>
      <w:r w:rsidR="00B01FA9" w:rsidRPr="00B01FA9" w:rsidDel="00B01FA9">
        <w:t xml:space="preserve"> </w:t>
      </w:r>
      <w:r>
        <w:t>handover</w:t>
      </w:r>
      <w:r w:rsidR="007842B9">
        <w:t xml:space="preserve"> with single uplink operation</w:t>
      </w:r>
      <w:r>
        <w:t>.</w:t>
      </w:r>
      <w:r w:rsidR="00B110E6">
        <w:t xml:space="preserve"> Instead of </w:t>
      </w:r>
      <w:proofErr w:type="spellStart"/>
      <w:r w:rsidR="00B110E6">
        <w:t>MeNB</w:t>
      </w:r>
      <w:proofErr w:type="spellEnd"/>
      <w:r w:rsidR="00B110E6">
        <w:t xml:space="preserve"> and </w:t>
      </w:r>
      <w:proofErr w:type="spellStart"/>
      <w:r w:rsidR="00B110E6">
        <w:t>SgNB</w:t>
      </w:r>
      <w:proofErr w:type="spellEnd"/>
      <w:r w:rsidR="00B110E6">
        <w:t xml:space="preserve">, we will have source </w:t>
      </w:r>
      <w:proofErr w:type="spellStart"/>
      <w:r w:rsidR="00B110E6">
        <w:t>eNB</w:t>
      </w:r>
      <w:proofErr w:type="spellEnd"/>
      <w:r w:rsidR="00B110E6">
        <w:t xml:space="preserve"> and target </w:t>
      </w:r>
      <w:proofErr w:type="spellStart"/>
      <w:r w:rsidR="00B110E6">
        <w:t>eNB</w:t>
      </w:r>
      <w:proofErr w:type="spellEnd"/>
      <w:r w:rsidR="00B110E6">
        <w:t xml:space="preserve">. Unfortunately, since both involved cells are LTE cells, both cells </w:t>
      </w:r>
      <w:proofErr w:type="gramStart"/>
      <w:r w:rsidR="00B110E6">
        <w:t>have to</w:t>
      </w:r>
      <w:proofErr w:type="gramEnd"/>
      <w:r w:rsidR="00B110E6">
        <w:t xml:space="preserve"> organize the strict HARQ timing mandated in LTE</w:t>
      </w:r>
      <w:r w:rsidR="009D4D6D">
        <w:t xml:space="preserve"> (in EN-DC only the LTE-</w:t>
      </w:r>
      <w:proofErr w:type="spellStart"/>
      <w:r w:rsidR="009D4D6D">
        <w:t>MeNB</w:t>
      </w:r>
      <w:proofErr w:type="spellEnd"/>
      <w:r w:rsidR="009D4D6D">
        <w:t xml:space="preserve"> has to use a specified pattern, and the NR-</w:t>
      </w:r>
      <w:proofErr w:type="spellStart"/>
      <w:r w:rsidR="009C64D2">
        <w:t>SgNB</w:t>
      </w:r>
      <w:proofErr w:type="spellEnd"/>
      <w:r w:rsidR="009C64D2">
        <w:t xml:space="preserve"> </w:t>
      </w:r>
      <w:r w:rsidR="009D4D6D">
        <w:t>can take the constraints into account via scheduling)</w:t>
      </w:r>
      <w:r w:rsidR="00B110E6">
        <w:t>.</w:t>
      </w:r>
      <w:r w:rsidR="00AA325A">
        <w:t xml:space="preserve"> </w:t>
      </w:r>
    </w:p>
    <w:p w14:paraId="123193A0" w14:textId="5DF942C8" w:rsidR="008020E9" w:rsidRDefault="008020E9" w:rsidP="00BD130E">
      <w:r>
        <w:t>Initially, we assume that the target is to avoid intermodulation and not a single T</w:t>
      </w:r>
      <w:r w:rsidR="00D42493">
        <w:t>x/</w:t>
      </w:r>
      <w:r>
        <w:t>R</w:t>
      </w:r>
      <w:r w:rsidR="00D42493">
        <w:t>x</w:t>
      </w:r>
      <w:r>
        <w:t xml:space="preserve"> implementation, i.e. we assume that the UE has 2 T</w:t>
      </w:r>
      <w:r w:rsidR="00D42493">
        <w:t>x/</w:t>
      </w:r>
      <w:r>
        <w:t>R</w:t>
      </w:r>
      <w:r w:rsidR="00D42493">
        <w:t>x</w:t>
      </w:r>
      <w:r>
        <w:t xml:space="preserve"> for source and target cell.</w:t>
      </w:r>
    </w:p>
    <w:p w14:paraId="1CE47017" w14:textId="3AADF579" w:rsidR="00F76E7E" w:rsidRDefault="00A87555" w:rsidP="00F76E7E">
      <w:pPr>
        <w:keepNext/>
        <w:jc w:val="center"/>
      </w:pPr>
      <w:r>
        <w:rPr>
          <w:noProof/>
        </w:rPr>
        <w:drawing>
          <wp:inline distT="0" distB="0" distL="0" distR="0" wp14:anchorId="020CF952" wp14:editId="2E3A2C63">
            <wp:extent cx="5965308" cy="1916813"/>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6173" cy="1923517"/>
                    </a:xfrm>
                    <a:prstGeom prst="rect">
                      <a:avLst/>
                    </a:prstGeom>
                    <a:noFill/>
                  </pic:spPr>
                </pic:pic>
              </a:graphicData>
            </a:graphic>
          </wp:inline>
        </w:drawing>
      </w:r>
    </w:p>
    <w:p w14:paraId="33C19BA9" w14:textId="3E83D663" w:rsidR="00DB6676" w:rsidRDefault="00F76E7E" w:rsidP="00F76E7E">
      <w:pPr>
        <w:pStyle w:val="Caption"/>
        <w:jc w:val="center"/>
      </w:pPr>
      <w:bookmarkStart w:id="2" w:name="_Ref532837743"/>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2</w:t>
      </w:r>
      <w:r w:rsidR="005A6A03">
        <w:rPr>
          <w:noProof/>
        </w:rPr>
        <w:fldChar w:fldCharType="end"/>
      </w:r>
      <w:bookmarkEnd w:id="2"/>
      <w:r>
        <w:t xml:space="preserve"> Single uplink for </w:t>
      </w:r>
      <w:r w:rsidR="00B01FA9" w:rsidRPr="00B01FA9">
        <w:t>simultaneous connectivity</w:t>
      </w:r>
      <w:r w:rsidR="00B01FA9" w:rsidRPr="00B01FA9" w:rsidDel="00B01FA9">
        <w:t xml:space="preserve"> </w:t>
      </w:r>
      <w:r>
        <w:t>handover</w:t>
      </w:r>
      <w:r w:rsidR="006F026E">
        <w:t xml:space="preserve"> (T denotes UL transmissions towards the target cell, S denotes UL transmissions towards the source cell)</w:t>
      </w:r>
    </w:p>
    <w:p w14:paraId="77A1F96F" w14:textId="199A0A3B" w:rsidR="0034159F" w:rsidRDefault="00041A9B" w:rsidP="0034159F">
      <w:r>
        <w:t>I</w:t>
      </w:r>
      <w:r w:rsidR="004828E5">
        <w:t xml:space="preserve">t would be elegant to </w:t>
      </w:r>
      <w:r w:rsidR="00903AB3">
        <w:t>re-</w:t>
      </w:r>
      <w:r w:rsidR="004828E5">
        <w:t xml:space="preserve">use the </w:t>
      </w:r>
      <w:r>
        <w:t xml:space="preserve">legacy LTE </w:t>
      </w:r>
      <w:r w:rsidR="004828E5">
        <w:t xml:space="preserve">TDD patterns again, since HARQ timing has already been solved for </w:t>
      </w:r>
      <w:r w:rsidR="009C64D2">
        <w:t>those</w:t>
      </w:r>
      <w:r w:rsidR="004828E5">
        <w:t xml:space="preserve">. </w:t>
      </w:r>
      <w:r w:rsidR="00D42493">
        <w:t xml:space="preserve">Any </w:t>
      </w:r>
      <w:r w:rsidR="004828E5">
        <w:t xml:space="preserve">new solutions </w:t>
      </w:r>
      <w:r w:rsidR="00D42493">
        <w:t xml:space="preserve">would only repeat the existing design, which would create unnecessary work and should be avoided </w:t>
      </w:r>
      <w:r w:rsidR="004828E5">
        <w:t>for this feature. To this end we need “inverse” TDD patterns with mutually exclusive uplinks</w:t>
      </w:r>
      <w:r w:rsidR="00D42493">
        <w:t xml:space="preserve"> (so that the </w:t>
      </w:r>
      <w:proofErr w:type="spellStart"/>
      <w:r w:rsidR="00D42493">
        <w:t>TeNB</w:t>
      </w:r>
      <w:proofErr w:type="spellEnd"/>
      <w:r w:rsidR="00D42493">
        <w:t xml:space="preserve"> pattern can also be defined)</w:t>
      </w:r>
      <w:r w:rsidR="004828E5">
        <w:t xml:space="preserve">. </w:t>
      </w:r>
    </w:p>
    <w:p w14:paraId="1CC77886" w14:textId="7793845F" w:rsidR="00BF15A1" w:rsidRDefault="00BF15A1" w:rsidP="00BF15A1">
      <w:pPr>
        <w:pStyle w:val="Caption"/>
        <w:keepNext/>
        <w:jc w:val="center"/>
      </w:pPr>
      <w:bookmarkStart w:id="3" w:name="_Ref532557316"/>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1</w:t>
      </w:r>
      <w:r w:rsidR="005A6A03">
        <w:rPr>
          <w:noProof/>
        </w:rPr>
        <w:fldChar w:fldCharType="end"/>
      </w:r>
      <w:bookmarkEnd w:id="3"/>
      <w:r>
        <w:t xml:space="preserve"> TDD patterns in LTE</w:t>
      </w:r>
      <w:r w:rsidR="00072186">
        <w:t xml:space="preserve"> </w:t>
      </w:r>
      <w:r w:rsidR="00072186">
        <w:fldChar w:fldCharType="begin"/>
      </w:r>
      <w:r w:rsidR="00072186">
        <w:instrText xml:space="preserve"> REF _Ref433131 \r \h </w:instrText>
      </w:r>
      <w:r w:rsidR="00072186">
        <w:fldChar w:fldCharType="separate"/>
      </w:r>
      <w:r w:rsidR="00072186">
        <w:t>[2]</w:t>
      </w:r>
      <w:r w:rsidR="00072186">
        <w:fldChar w:fldCharType="end"/>
      </w:r>
    </w:p>
    <w:tbl>
      <w:tblPr>
        <w:tblW w:w="5000" w:type="pct"/>
        <w:jc w:val="center"/>
        <w:tblLook w:val="01E0" w:firstRow="1" w:lastRow="1" w:firstColumn="1" w:lastColumn="1" w:noHBand="0" w:noVBand="0"/>
      </w:tblPr>
      <w:tblGrid>
        <w:gridCol w:w="2112"/>
        <w:gridCol w:w="2969"/>
        <w:gridCol w:w="457"/>
        <w:gridCol w:w="441"/>
        <w:gridCol w:w="457"/>
        <w:gridCol w:w="457"/>
        <w:gridCol w:w="457"/>
        <w:gridCol w:w="457"/>
        <w:gridCol w:w="457"/>
        <w:gridCol w:w="457"/>
        <w:gridCol w:w="457"/>
        <w:gridCol w:w="453"/>
      </w:tblGrid>
      <w:tr w:rsidR="00BF15A1" w:rsidRPr="0086638C" w14:paraId="68705605" w14:textId="77777777" w:rsidTr="00185616">
        <w:trPr>
          <w:cantSplit/>
          <w:jc w:val="center"/>
        </w:trPr>
        <w:tc>
          <w:tcPr>
            <w:tcW w:w="1097"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B677F6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3C8F5A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154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710A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Downlink-to-Uplink </w:t>
            </w:r>
          </w:p>
          <w:p w14:paraId="729800E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Switch-point periodicity</w:t>
            </w:r>
          </w:p>
        </w:tc>
        <w:tc>
          <w:tcPr>
            <w:tcW w:w="2360"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4C68B83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41B8AE6D" w14:textId="77777777" w:rsidTr="00185616">
        <w:trPr>
          <w:cantSplit/>
          <w:jc w:val="center"/>
        </w:trPr>
        <w:tc>
          <w:tcPr>
            <w:tcW w:w="1097"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8A0EC90" w14:textId="77777777" w:rsidR="00BF15A1" w:rsidRPr="0086638C" w:rsidRDefault="00BF15A1" w:rsidP="00185616">
            <w:pPr>
              <w:keepNext/>
              <w:keepLines/>
              <w:spacing w:after="0"/>
              <w:jc w:val="center"/>
              <w:rPr>
                <w:rFonts w:ascii="Arial" w:hAnsi="Arial"/>
                <w:b/>
                <w:sz w:val="18"/>
              </w:rPr>
            </w:pPr>
          </w:p>
        </w:tc>
        <w:tc>
          <w:tcPr>
            <w:tcW w:w="154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0A015A0" w14:textId="77777777" w:rsidR="00BF15A1" w:rsidRPr="0086638C" w:rsidRDefault="00BF15A1" w:rsidP="00185616">
            <w:pPr>
              <w:keepNext/>
              <w:keepLines/>
              <w:spacing w:after="0"/>
              <w:jc w:val="center"/>
              <w:rPr>
                <w:rFonts w:ascii="Arial" w:hAnsi="Arial"/>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86A4F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29" w:type="pct"/>
            <w:tcBorders>
              <w:top w:val="single" w:sz="4" w:space="0" w:color="auto"/>
              <w:left w:val="single" w:sz="4" w:space="0" w:color="auto"/>
              <w:bottom w:val="single" w:sz="4" w:space="0" w:color="auto"/>
              <w:right w:val="single" w:sz="4" w:space="0" w:color="auto"/>
            </w:tcBorders>
            <w:shd w:val="clear" w:color="auto" w:fill="E0E0E0"/>
            <w:vAlign w:val="center"/>
          </w:tcPr>
          <w:p w14:paraId="51701A74"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4B3AEC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C45E67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0A602B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C42BBC"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FCE96C1"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7A1A3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E4CA15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tcPr>
          <w:p w14:paraId="2CD6A65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0531744"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5085C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0</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CCC7B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97D5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AD4CE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F963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6A7E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711D7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8553E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F0725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EB6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9924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6081D2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7FF61AA"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EB06B3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1</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10ECD5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85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F325E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5EE60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5AA87F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F9D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FB242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B8A1F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93F4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6CEDB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CE77E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4EF5421E"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B52819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2</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67432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8D4F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63DEE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E1A8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15E95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A658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9628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99250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E52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0F057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0751249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3087EACD"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F6588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3</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AE446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281E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C5BA0E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8AD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6190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FBF1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B092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7B65B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7FB5A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C531C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813F4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1616DE68"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947893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4</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786825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1D7D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643433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76F1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12BE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2EBD6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24E6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B3F39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93C9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A747B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577F59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B8979D7"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F093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5</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6F01BE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6B3F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17DDE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BC47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065A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D3BB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BEE33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31F82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F0B46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455F0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35B95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04CEEA25"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4141A3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6</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3E02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ECF8C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3110F27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18E1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2545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FB3DA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78E67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2D4E6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266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D9B5C3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5C2EA72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bl>
    <w:p w14:paraId="63B11D8C" w14:textId="77777777" w:rsidR="00BF15A1" w:rsidRDefault="00BF15A1" w:rsidP="0034159F"/>
    <w:p w14:paraId="2AF62AB1" w14:textId="0CCD75A7" w:rsidR="0034159F" w:rsidRDefault="0034159F" w:rsidP="0034159F">
      <w:r>
        <w:lastRenderedPageBreak/>
        <w:t>Looking at the available TDD patterns specified in 36.211</w:t>
      </w:r>
      <w:r w:rsidR="00072186">
        <w:fldChar w:fldCharType="begin"/>
      </w:r>
      <w:r w:rsidR="00072186">
        <w:instrText xml:space="preserve"> REF _Ref433131 \r \h </w:instrText>
      </w:r>
      <w:r w:rsidR="00072186">
        <w:fldChar w:fldCharType="separate"/>
      </w:r>
      <w:r w:rsidR="00072186">
        <w:t>[2]</w:t>
      </w:r>
      <w:r w:rsidR="00072186">
        <w:fldChar w:fldCharType="end"/>
      </w:r>
      <w:r>
        <w:t xml:space="preserve"> (cf. </w:t>
      </w:r>
      <w:r>
        <w:fldChar w:fldCharType="begin"/>
      </w:r>
      <w:r>
        <w:instrText xml:space="preserve"> REF _Ref532557316 \h </w:instrText>
      </w:r>
      <w:r>
        <w:fldChar w:fldCharType="separate"/>
      </w:r>
      <w:r>
        <w:t xml:space="preserve">Table </w:t>
      </w:r>
      <w:r>
        <w:rPr>
          <w:noProof/>
        </w:rPr>
        <w:t>1</w:t>
      </w:r>
      <w:r>
        <w:fldChar w:fldCharType="end"/>
      </w:r>
      <w:r>
        <w:t>), it seems there is no pair of patterns with mutually exclusive uplink</w:t>
      </w:r>
      <w:r w:rsidR="00041A9B">
        <w:t xml:space="preserve"> subframes</w:t>
      </w:r>
      <w:r>
        <w:t xml:space="preserve">. However, already the EN-DC SUO solution </w:t>
      </w:r>
      <w:r w:rsidR="00041A9B">
        <w:t>comprises the possibility</w:t>
      </w:r>
      <w:r>
        <w:t xml:space="preserve"> to offset the patterns</w:t>
      </w:r>
      <w:r w:rsidR="00D42493">
        <w:t>, so i</w:t>
      </w:r>
      <w:r w:rsidR="00BF15A1">
        <w:t>f we make use of th</w:t>
      </w:r>
      <w:r w:rsidR="00D42493">
        <w:t>at</w:t>
      </w:r>
      <w:r w:rsidR="00BF15A1">
        <w:t xml:space="preserve"> option, then indeed it is easy to find these pairs. In </w:t>
      </w:r>
      <w:r w:rsidR="00BF15A1">
        <w:fldChar w:fldCharType="begin"/>
      </w:r>
      <w:r w:rsidR="00BF15A1">
        <w:instrText xml:space="preserve"> REF _Ref532834967 \h </w:instrText>
      </w:r>
      <w:r w:rsidR="00BF15A1">
        <w:fldChar w:fldCharType="separate"/>
      </w:r>
      <w:r w:rsidR="00BF15A1">
        <w:t xml:space="preserve">Table </w:t>
      </w:r>
      <w:r w:rsidR="00BF15A1">
        <w:rPr>
          <w:noProof/>
        </w:rPr>
        <w:t>2</w:t>
      </w:r>
      <w:r w:rsidR="00BF15A1">
        <w:fldChar w:fldCharType="end"/>
      </w:r>
      <w:r w:rsidR="00BF15A1">
        <w:t xml:space="preserve">, we have given 3 different </w:t>
      </w:r>
      <w:r w:rsidR="00D42493">
        <w:t xml:space="preserve">exemplary </w:t>
      </w:r>
      <w:r w:rsidR="00BF15A1">
        <w:t>solutions. The last (green) example would</w:t>
      </w:r>
      <w:r w:rsidR="00041A9B">
        <w:t xml:space="preserve"> even</w:t>
      </w:r>
      <w:r w:rsidR="00BF15A1">
        <w:t xml:space="preserve"> allow for continu</w:t>
      </w:r>
      <w:r w:rsidR="00041A9B">
        <w:t>ou</w:t>
      </w:r>
      <w:r w:rsidR="00BF15A1">
        <w:t>s uplink</w:t>
      </w:r>
      <w:r w:rsidR="00D42493">
        <w:t>,</w:t>
      </w:r>
      <w:r w:rsidR="009330D7">
        <w:t xml:space="preserve"> which suggests </w:t>
      </w:r>
      <w:r w:rsidR="00D42493">
        <w:t xml:space="preserve">possibility for </w:t>
      </w:r>
      <w:r w:rsidR="009330D7">
        <w:t>0ms interruption on the uplink</w:t>
      </w:r>
      <w:r w:rsidR="00D42493">
        <w:t xml:space="preserve"> (</w:t>
      </w:r>
      <w:r w:rsidR="009330D7">
        <w:t>However</w:t>
      </w:r>
      <w:r w:rsidR="00072186">
        <w:t>, please</w:t>
      </w:r>
      <w:r w:rsidR="00D42493">
        <w:t xml:space="preserve"> see m</w:t>
      </w:r>
      <w:r w:rsidR="00125318">
        <w:t>ore details on interruption is discussed below</w:t>
      </w:r>
      <w:r w:rsidR="00072186">
        <w:t>)</w:t>
      </w:r>
      <w:r w:rsidR="00125318">
        <w:t>.</w:t>
      </w:r>
    </w:p>
    <w:p w14:paraId="19D30688" w14:textId="4DDFE76C" w:rsidR="00BF15A1" w:rsidRDefault="00BF15A1" w:rsidP="00BF15A1">
      <w:pPr>
        <w:pStyle w:val="Caption"/>
        <w:keepNext/>
        <w:jc w:val="center"/>
      </w:pPr>
      <w:bookmarkStart w:id="4" w:name="_Ref532834967"/>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2</w:t>
      </w:r>
      <w:r w:rsidR="005A6A03">
        <w:rPr>
          <w:noProof/>
        </w:rPr>
        <w:fldChar w:fldCharType="end"/>
      </w:r>
      <w:bookmarkEnd w:id="4"/>
      <w:r>
        <w:t xml:space="preserve"> </w:t>
      </w:r>
      <w:r w:rsidR="00FA04AE">
        <w:t>Pairs of TDD patterns with mutual exclusive uplink subframes</w:t>
      </w:r>
    </w:p>
    <w:tbl>
      <w:tblPr>
        <w:tblW w:w="5000" w:type="pct"/>
        <w:jc w:val="center"/>
        <w:tblLook w:val="01E0" w:firstRow="1" w:lastRow="1" w:firstColumn="1" w:lastColumn="1" w:noHBand="0" w:noVBand="0"/>
      </w:tblPr>
      <w:tblGrid>
        <w:gridCol w:w="2122"/>
        <w:gridCol w:w="1735"/>
        <w:gridCol w:w="1238"/>
        <w:gridCol w:w="452"/>
        <w:gridCol w:w="454"/>
        <w:gridCol w:w="453"/>
        <w:gridCol w:w="455"/>
        <w:gridCol w:w="453"/>
        <w:gridCol w:w="455"/>
        <w:gridCol w:w="453"/>
        <w:gridCol w:w="455"/>
        <w:gridCol w:w="453"/>
        <w:gridCol w:w="453"/>
      </w:tblGrid>
      <w:tr w:rsidR="00BF15A1" w:rsidRPr="0086638C" w14:paraId="78927FE6" w14:textId="77777777" w:rsidTr="00185616">
        <w:trPr>
          <w:cantSplit/>
          <w:jc w:val="center"/>
        </w:trPr>
        <w:tc>
          <w:tcPr>
            <w:tcW w:w="110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FAE429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6B3D2A4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901" w:type="pct"/>
            <w:vMerge w:val="restart"/>
            <w:tcBorders>
              <w:top w:val="single" w:sz="4" w:space="0" w:color="auto"/>
              <w:left w:val="single" w:sz="4" w:space="0" w:color="auto"/>
              <w:right w:val="single" w:sz="4" w:space="0" w:color="auto"/>
            </w:tcBorders>
            <w:shd w:val="clear" w:color="auto" w:fill="E0E0E0"/>
          </w:tcPr>
          <w:p w14:paraId="248C42C2" w14:textId="77777777" w:rsidR="00BF15A1" w:rsidRDefault="00BF15A1" w:rsidP="00185616">
            <w:pPr>
              <w:keepNext/>
              <w:keepLines/>
              <w:spacing w:after="0"/>
              <w:jc w:val="center"/>
              <w:rPr>
                <w:rFonts w:ascii="Arial" w:hAnsi="Arial"/>
                <w:b/>
                <w:sz w:val="18"/>
              </w:rPr>
            </w:pPr>
            <w:r>
              <w:rPr>
                <w:rFonts w:ascii="Arial" w:hAnsi="Arial"/>
                <w:b/>
                <w:sz w:val="18"/>
              </w:rPr>
              <w:t>Uplink</w:t>
            </w:r>
          </w:p>
          <w:p w14:paraId="33E9D947" w14:textId="77777777" w:rsidR="00BF15A1" w:rsidRDefault="00BF15A1" w:rsidP="00185616">
            <w:pPr>
              <w:keepNext/>
              <w:keepLines/>
              <w:spacing w:after="0"/>
              <w:jc w:val="center"/>
              <w:rPr>
                <w:rFonts w:ascii="Arial" w:hAnsi="Arial"/>
                <w:b/>
                <w:sz w:val="18"/>
              </w:rPr>
            </w:pPr>
            <w:r>
              <w:rPr>
                <w:rFonts w:ascii="Arial" w:hAnsi="Arial"/>
                <w:b/>
                <w:sz w:val="18"/>
              </w:rPr>
              <w:t>Percentage</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41599A" w14:textId="77777777" w:rsidR="00BF15A1" w:rsidRPr="0086638C" w:rsidRDefault="00BF15A1" w:rsidP="00185616">
            <w:pPr>
              <w:keepNext/>
              <w:keepLines/>
              <w:spacing w:after="0"/>
              <w:jc w:val="center"/>
              <w:rPr>
                <w:rFonts w:ascii="Arial" w:hAnsi="Arial"/>
                <w:b/>
                <w:sz w:val="18"/>
              </w:rPr>
            </w:pPr>
            <w:r>
              <w:rPr>
                <w:rFonts w:ascii="Arial" w:hAnsi="Arial"/>
                <w:b/>
                <w:sz w:val="18"/>
              </w:rPr>
              <w:t>Offset</w:t>
            </w:r>
          </w:p>
        </w:tc>
        <w:tc>
          <w:tcPr>
            <w:tcW w:w="2355"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3F17367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7E80B85B" w14:textId="77777777" w:rsidTr="00185616">
        <w:trPr>
          <w:cantSplit/>
          <w:jc w:val="center"/>
        </w:trPr>
        <w:tc>
          <w:tcPr>
            <w:tcW w:w="110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7418BA0" w14:textId="77777777" w:rsidR="00BF15A1" w:rsidRPr="0086638C" w:rsidRDefault="00BF15A1" w:rsidP="00185616">
            <w:pPr>
              <w:keepNext/>
              <w:keepLines/>
              <w:spacing w:after="0"/>
              <w:jc w:val="center"/>
              <w:rPr>
                <w:rFonts w:ascii="Arial" w:hAnsi="Arial"/>
                <w:b/>
                <w:sz w:val="18"/>
              </w:rPr>
            </w:pPr>
          </w:p>
        </w:tc>
        <w:tc>
          <w:tcPr>
            <w:tcW w:w="901" w:type="pct"/>
            <w:vMerge/>
            <w:tcBorders>
              <w:left w:val="single" w:sz="4" w:space="0" w:color="auto"/>
              <w:bottom w:val="single" w:sz="4" w:space="0" w:color="auto"/>
              <w:right w:val="single" w:sz="4" w:space="0" w:color="auto"/>
            </w:tcBorders>
            <w:shd w:val="clear" w:color="auto" w:fill="E0E0E0"/>
          </w:tcPr>
          <w:p w14:paraId="1896305A" w14:textId="77777777" w:rsidR="00BF15A1" w:rsidRPr="0086638C" w:rsidRDefault="00BF15A1" w:rsidP="00185616">
            <w:pPr>
              <w:keepNext/>
              <w:keepLines/>
              <w:spacing w:after="0"/>
              <w:jc w:val="center"/>
              <w:rPr>
                <w:rFonts w:ascii="Arial" w:hAnsi="Arial"/>
                <w:b/>
                <w:sz w:val="18"/>
              </w:rPr>
            </w:pPr>
          </w:p>
        </w:tc>
        <w:tc>
          <w:tcPr>
            <w:tcW w:w="6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4C99B26" w14:textId="77777777" w:rsidR="00BF15A1" w:rsidRPr="0086638C" w:rsidRDefault="00BF15A1" w:rsidP="00185616">
            <w:pPr>
              <w:keepNext/>
              <w:keepLines/>
              <w:spacing w:after="0"/>
              <w:jc w:val="center"/>
              <w:rPr>
                <w:rFonts w:ascii="Arial" w:hAnsi="Arial"/>
                <w:b/>
                <w:sz w:val="18"/>
              </w:rPr>
            </w:pP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551F252"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43CA14B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A8ABEE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7C968E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4CA0B0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5615224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3D0830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13FE588"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B55768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8B04CD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50C125F"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D7C9C"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B1248C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77E1D6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C3A097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9895A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557D1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15478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C66BF8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CCF10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EC1E2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F2C584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4340A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1454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DE734BB"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99869"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5C8BC1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0E40D2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7D877F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7E20E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C236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8A390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5F9584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9BDA9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C17266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28500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892C887"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23AE6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r w:rsidR="00BF15A1" w:rsidRPr="0086638C" w14:paraId="3BB618D5"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DEDF80"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30E4C0"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C47CE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F7A9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2E13E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BD4EC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839F9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8EAE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B965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71DBC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092FF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820C7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24329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2FF07C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E389E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D6928"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281D5D" w14:textId="77777777" w:rsidR="00BF15A1" w:rsidRPr="0086638C" w:rsidRDefault="00BF15A1" w:rsidP="00185616">
            <w:pPr>
              <w:keepNext/>
              <w:keepLines/>
              <w:spacing w:after="0"/>
              <w:jc w:val="center"/>
              <w:rPr>
                <w:rFonts w:ascii="Arial" w:hAnsi="Arial"/>
                <w:sz w:val="18"/>
              </w:rPr>
            </w:pPr>
            <w:r>
              <w:rPr>
                <w:rFonts w:ascii="Arial" w:hAnsi="Arial"/>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FB5FF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9D3ED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810CE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D906B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E3333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304FD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73F8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0850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1830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89F2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3D2EF22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DAC234"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58F4FF" w14:textId="77777777" w:rsidR="00BF15A1" w:rsidRPr="0086638C" w:rsidRDefault="00BF15A1" w:rsidP="00185616">
            <w:pPr>
              <w:keepNext/>
              <w:keepLines/>
              <w:spacing w:after="0"/>
              <w:jc w:val="center"/>
              <w:rPr>
                <w:rFonts w:ascii="Arial" w:hAnsi="Arial"/>
                <w:sz w:val="18"/>
              </w:rPr>
            </w:pPr>
            <w:r>
              <w:rPr>
                <w:rFonts w:ascii="Arial" w:hAnsi="Arial"/>
                <w:sz w:val="18"/>
              </w:rPr>
              <w:t>60%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BBA5A3"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CE57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036C5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5F09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0929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7FE27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20299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E7E2A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EE792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ABBE1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A947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BA0C9FE"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0D11F2" w14:textId="3D7858EA"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63ED8" w14:textId="77777777" w:rsidR="00BF15A1" w:rsidRPr="0086638C"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55945A"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28F6C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90A9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B539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6F578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7ECC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7977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E8E5F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CA6D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D0DF19"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0B82A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bl>
    <w:p w14:paraId="27956B3B" w14:textId="042C7CEA" w:rsidR="00BF15A1" w:rsidRDefault="00BF15A1" w:rsidP="0034159F"/>
    <w:p w14:paraId="39C0E025" w14:textId="2ADC7B3A" w:rsidR="00A87555" w:rsidRDefault="00A87555" w:rsidP="0034159F">
      <w:r>
        <w:t xml:space="preserve">In the case of </w:t>
      </w:r>
      <w:r w:rsidR="00B01FA9" w:rsidRPr="00B01FA9">
        <w:t xml:space="preserve">simultaneous connectivity </w:t>
      </w:r>
      <w:r>
        <w:t xml:space="preserve">handover, it may be helpful to </w:t>
      </w:r>
      <w:r w:rsidR="00195A07">
        <w:t xml:space="preserve">also </w:t>
      </w:r>
      <w:r>
        <w:t xml:space="preserve">have </w:t>
      </w:r>
      <w:r w:rsidR="00195A07">
        <w:t>a</w:t>
      </w:r>
      <w:r>
        <w:t xml:space="preserve"> rule</w:t>
      </w:r>
      <w:r w:rsidR="00195A07">
        <w:t xml:space="preserve"> indicating that special subframes are not allowed for UL and are considered as downlink subframes only</w:t>
      </w:r>
      <w:r>
        <w:t>.</w:t>
      </w:r>
    </w:p>
    <w:p w14:paraId="1CBF4E03" w14:textId="5257F72D" w:rsidR="00227075" w:rsidRPr="00227075" w:rsidRDefault="00227075" w:rsidP="00227075">
      <w:pPr>
        <w:keepNext/>
        <w:rPr>
          <w:b/>
        </w:rPr>
      </w:pPr>
      <w:r w:rsidRPr="00227075">
        <w:rPr>
          <w:b/>
        </w:rPr>
        <w:t xml:space="preserve">Observation 1: In contrast to the single uplink solution in EN-DC, the UE </w:t>
      </w:r>
      <w:proofErr w:type="gramStart"/>
      <w:r w:rsidRPr="00227075">
        <w:rPr>
          <w:b/>
        </w:rPr>
        <w:t>has to</w:t>
      </w:r>
      <w:proofErr w:type="gramEnd"/>
      <w:r w:rsidRPr="00227075">
        <w:rPr>
          <w:b/>
        </w:rPr>
        <w:t xml:space="preserve"> follow the tight HARQ timing constraints for both involved </w:t>
      </w:r>
      <w:r w:rsidR="00804B73">
        <w:rPr>
          <w:b/>
        </w:rPr>
        <w:t xml:space="preserve">LTE </w:t>
      </w:r>
      <w:r w:rsidRPr="00227075">
        <w:rPr>
          <w:b/>
        </w:rPr>
        <w:t>cells.</w:t>
      </w:r>
    </w:p>
    <w:p w14:paraId="3E4CEFA2" w14:textId="6D542ECC" w:rsidR="00572F0D" w:rsidRPr="00227075" w:rsidRDefault="00572F0D" w:rsidP="00572F0D">
      <w:pPr>
        <w:keepNext/>
        <w:rPr>
          <w:b/>
        </w:rPr>
      </w:pPr>
      <w:r w:rsidRPr="00227075">
        <w:rPr>
          <w:b/>
        </w:rPr>
        <w:t xml:space="preserve">Observation </w:t>
      </w:r>
      <w:r>
        <w:rPr>
          <w:b/>
        </w:rPr>
        <w:t>2</w:t>
      </w:r>
      <w:r w:rsidRPr="00227075">
        <w:rPr>
          <w:b/>
        </w:rPr>
        <w:t xml:space="preserve">: </w:t>
      </w:r>
      <w:r w:rsidR="00D0657B">
        <w:rPr>
          <w:b/>
        </w:rPr>
        <w:t>Using an offset value, which is already present in the EN-DC SUO solution, pairs of TDD patterns with mutually exclusive uplink</w:t>
      </w:r>
      <w:r w:rsidR="00195A07">
        <w:rPr>
          <w:b/>
        </w:rPr>
        <w:t xml:space="preserve"> subframe</w:t>
      </w:r>
      <w:r w:rsidR="00D0657B">
        <w:rPr>
          <w:b/>
        </w:rPr>
        <w:t>s exist</w:t>
      </w:r>
      <w:r>
        <w:rPr>
          <w:b/>
        </w:rPr>
        <w:t>.</w:t>
      </w:r>
    </w:p>
    <w:p w14:paraId="48601C1F" w14:textId="6770393C" w:rsidR="00F76E7E" w:rsidRDefault="00F76E7E" w:rsidP="00F76E7E">
      <w:pPr>
        <w:keepNext/>
      </w:pPr>
      <w:r>
        <w:t xml:space="preserve">The </w:t>
      </w:r>
      <w:r w:rsidR="00195A07">
        <w:t xml:space="preserve">coordination </w:t>
      </w:r>
      <w:r>
        <w:t>of the TDM patterns can be done very similar</w:t>
      </w:r>
      <w:r w:rsidR="00804B73">
        <w:t>ly</w:t>
      </w:r>
      <w:r>
        <w:t xml:space="preserve"> to EN-DC. Instead of using the “</w:t>
      </w:r>
      <w:proofErr w:type="spellStart"/>
      <w:r>
        <w:t>SgNB</w:t>
      </w:r>
      <w:proofErr w:type="spellEnd"/>
      <w:r>
        <w:t xml:space="preserve"> Addition Request (Acknowledgement)” on X2, the “Handover Request (Acknowledgement)” can be used on X2. The information element “UL coordination information” can be reused.</w:t>
      </w:r>
    </w:p>
    <w:p w14:paraId="25192DD7" w14:textId="2FBCBDC0" w:rsidR="00F76E7E" w:rsidRPr="00F76E7E" w:rsidRDefault="00F76E7E" w:rsidP="00F76E7E">
      <w:pPr>
        <w:keepNext/>
        <w:rPr>
          <w:b/>
        </w:rPr>
      </w:pPr>
      <w:r w:rsidRPr="00227075">
        <w:rPr>
          <w:b/>
        </w:rPr>
        <w:t xml:space="preserve">Proposal </w:t>
      </w:r>
      <w:r w:rsidR="00746945">
        <w:rPr>
          <w:b/>
        </w:rPr>
        <w:t>2</w:t>
      </w:r>
      <w:r>
        <w:rPr>
          <w:b/>
        </w:rPr>
        <w:t xml:space="preserve">: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60AE7515" w14:textId="182D9253" w:rsidR="00F76E7E" w:rsidRDefault="00F76E7E" w:rsidP="00F76E7E">
      <w:pPr>
        <w:keepNext/>
      </w:pPr>
      <w:r>
        <w:t>Obviously, th</w:t>
      </w:r>
      <w:r w:rsidR="00804B73">
        <w:t>is</w:t>
      </w:r>
      <w:r>
        <w:t xml:space="preserve"> negotiation is a RAN3 issue. A corresponding Liaison Statement shall be sent to RAN3, but not before RAN2 has made progress and clarified the basic procedures.</w:t>
      </w:r>
    </w:p>
    <w:p w14:paraId="18F7D3C5" w14:textId="7CEBD6A5" w:rsidR="00F76E7E" w:rsidRPr="00227075" w:rsidRDefault="00F76E7E" w:rsidP="0086638C">
      <w:pPr>
        <w:keepNext/>
        <w:rPr>
          <w:b/>
        </w:rPr>
      </w:pPr>
      <w:r w:rsidRPr="00227075">
        <w:rPr>
          <w:b/>
        </w:rPr>
        <w:t xml:space="preserve">Proposal </w:t>
      </w:r>
      <w:r w:rsidR="00746945">
        <w:rPr>
          <w:b/>
        </w:rPr>
        <w:t>3</w:t>
      </w:r>
      <w:r w:rsidRPr="00227075">
        <w:rPr>
          <w:b/>
        </w:rPr>
        <w:t xml:space="preserve">: </w:t>
      </w:r>
      <w:r>
        <w:rPr>
          <w:b/>
        </w:rPr>
        <w:t xml:space="preserve">A Liaison Statement shall be sent to </w:t>
      </w:r>
      <w:r w:rsidR="00D410BB">
        <w:rPr>
          <w:b/>
        </w:rPr>
        <w:t>RAN3 once the basic procedures have been clarified.</w:t>
      </w:r>
    </w:p>
    <w:p w14:paraId="33A9BE98" w14:textId="5750927B" w:rsidR="00C95C60" w:rsidRDefault="00C95C60" w:rsidP="00C95C60">
      <w:pPr>
        <w:pStyle w:val="Heading1"/>
      </w:pPr>
      <w:r>
        <w:t>4</w:t>
      </w:r>
      <w:r w:rsidRPr="006E13D1">
        <w:tab/>
      </w:r>
      <w:r w:rsidR="006E1A92">
        <w:t>Synchronicity and Timing</w:t>
      </w:r>
    </w:p>
    <w:p w14:paraId="7BBD9929" w14:textId="0838C29A" w:rsidR="00C95C60" w:rsidRDefault="006E1A92" w:rsidP="00BD130E">
      <w:r>
        <w:t xml:space="preserve">Obviously, such a TDM coordination requires synchronized base stations and frame alignment. However, even with perfect synchronization on the network side, </w:t>
      </w:r>
      <w:r w:rsidR="009B1AB2">
        <w:t>the UEs would send their uplink</w:t>
      </w:r>
      <w:r w:rsidR="00AA2EC8">
        <w:t xml:space="preserve"> transmissions</w:t>
      </w:r>
      <w:r w:rsidR="009B1AB2">
        <w:t xml:space="preserve"> to source and target cell with slightly </w:t>
      </w:r>
      <w:r w:rsidR="005239B2">
        <w:t xml:space="preserve">different </w:t>
      </w:r>
      <w:r w:rsidR="00A87555">
        <w:t xml:space="preserve">timings (due to different </w:t>
      </w:r>
      <w:r w:rsidR="005239B2">
        <w:t xml:space="preserve">downlink syncs and </w:t>
      </w:r>
      <w:r>
        <w:t xml:space="preserve">thereby </w:t>
      </w:r>
      <w:r w:rsidR="009B1AB2">
        <w:t>different timing advance</w:t>
      </w:r>
      <w:r w:rsidR="00A87555">
        <w:t xml:space="preserve">, </w:t>
      </w:r>
      <w:r w:rsidR="009B1AB2">
        <w:t>even if the source and target cell are perfectly synchronized).</w:t>
      </w:r>
      <w:r w:rsidR="005239B2">
        <w:t xml:space="preserve"> We illustrate this difference in </w:t>
      </w:r>
      <w:r w:rsidR="00A87555">
        <w:fldChar w:fldCharType="begin"/>
      </w:r>
      <w:r w:rsidR="00A87555">
        <w:instrText xml:space="preserve"> REF _Ref532836083 \h </w:instrText>
      </w:r>
      <w:r w:rsidR="00A87555">
        <w:fldChar w:fldCharType="separate"/>
      </w:r>
      <w:r w:rsidR="00A87555">
        <w:t xml:space="preserve">Figure </w:t>
      </w:r>
      <w:r w:rsidR="00A87555">
        <w:rPr>
          <w:noProof/>
        </w:rPr>
        <w:t>3</w:t>
      </w:r>
      <w:r w:rsidR="00A87555">
        <w:fldChar w:fldCharType="end"/>
      </w:r>
      <w:r w:rsidR="00746945">
        <w:t xml:space="preserve">, where source and target cell use configuration #0 and #1 with offset 0 and 2, respectively, following the green example pair in </w:t>
      </w:r>
      <w:r w:rsidR="00746945">
        <w:fldChar w:fldCharType="begin"/>
      </w:r>
      <w:r w:rsidR="00746945">
        <w:instrText xml:space="preserve"> REF _Ref532834967 \h </w:instrText>
      </w:r>
      <w:r w:rsidR="00746945">
        <w:fldChar w:fldCharType="separate"/>
      </w:r>
      <w:r w:rsidR="00746945">
        <w:t xml:space="preserve">Table </w:t>
      </w:r>
      <w:r w:rsidR="00746945">
        <w:rPr>
          <w:noProof/>
        </w:rPr>
        <w:t>2</w:t>
      </w:r>
      <w:r w:rsidR="00746945">
        <w:fldChar w:fldCharType="end"/>
      </w:r>
      <w:r w:rsidR="005239B2">
        <w:t>.</w:t>
      </w:r>
    </w:p>
    <w:p w14:paraId="0AC39C11" w14:textId="0BA7285C" w:rsidR="005239B2" w:rsidRDefault="00C32D0A" w:rsidP="005239B2">
      <w:pPr>
        <w:keepNext/>
        <w:jc w:val="center"/>
      </w:pPr>
      <w:r>
        <w:rPr>
          <w:noProof/>
        </w:rPr>
        <w:drawing>
          <wp:inline distT="0" distB="0" distL="0" distR="0" wp14:anchorId="71850EBC" wp14:editId="69657F9A">
            <wp:extent cx="5934075" cy="840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6650" cy="858950"/>
                    </a:xfrm>
                    <a:prstGeom prst="rect">
                      <a:avLst/>
                    </a:prstGeom>
                    <a:noFill/>
                  </pic:spPr>
                </pic:pic>
              </a:graphicData>
            </a:graphic>
          </wp:inline>
        </w:drawing>
      </w:r>
    </w:p>
    <w:p w14:paraId="4F70FB6B" w14:textId="04BCDCCA" w:rsidR="005239B2" w:rsidRDefault="005239B2" w:rsidP="005239B2">
      <w:pPr>
        <w:pStyle w:val="Caption"/>
        <w:jc w:val="center"/>
      </w:pPr>
      <w:bookmarkStart w:id="5" w:name="_Ref532836083"/>
      <w:r>
        <w:t xml:space="preserve">Figure </w:t>
      </w:r>
      <w:r w:rsidR="005A6A03">
        <w:rPr>
          <w:noProof/>
        </w:rPr>
        <w:fldChar w:fldCharType="begin"/>
      </w:r>
      <w:r w:rsidR="005A6A03">
        <w:rPr>
          <w:noProof/>
        </w:rPr>
        <w:instrText xml:space="preserve"> SEQ Figure \* ARABIC </w:instrText>
      </w:r>
      <w:r w:rsidR="005A6A03">
        <w:rPr>
          <w:noProof/>
        </w:rPr>
        <w:fldChar w:fldCharType="separate"/>
      </w:r>
      <w:r>
        <w:rPr>
          <w:noProof/>
        </w:rPr>
        <w:t>3</w:t>
      </w:r>
      <w:r w:rsidR="005A6A03">
        <w:rPr>
          <w:noProof/>
        </w:rPr>
        <w:fldChar w:fldCharType="end"/>
      </w:r>
      <w:bookmarkEnd w:id="5"/>
      <w:r>
        <w:t xml:space="preserve"> Asynchronous examples with late target (left) and early target (right)</w:t>
      </w:r>
    </w:p>
    <w:p w14:paraId="4CB79EF8" w14:textId="048E538F" w:rsidR="005239B2" w:rsidRDefault="005239B2" w:rsidP="00BD130E">
      <w:r>
        <w:t xml:space="preserve">The example shows two cases; in the left case the uplink </w:t>
      </w:r>
      <w:r w:rsidR="00F17528">
        <w:t xml:space="preserve">to the target cell </w:t>
      </w:r>
      <w:r w:rsidR="00FA04AE">
        <w:t>is</w:t>
      </w:r>
      <w:r>
        <w:t xml:space="preserve"> sent a bit later </w:t>
      </w:r>
      <w:r w:rsidR="00F17528">
        <w:t xml:space="preserve">than to the source cell </w:t>
      </w:r>
      <w:r>
        <w:t xml:space="preserve">(e.g. due to larger distance </w:t>
      </w:r>
      <w:r w:rsidR="00F17528">
        <w:t xml:space="preserve">to target </w:t>
      </w:r>
      <w:proofErr w:type="spellStart"/>
      <w:r w:rsidR="00F17528">
        <w:t>eNB</w:t>
      </w:r>
      <w:proofErr w:type="spellEnd"/>
      <w:r w:rsidR="00F17528">
        <w:t xml:space="preserve">), and earlier in the right case. In both cases there is a short period highlighted with yellow </w:t>
      </w:r>
      <w:proofErr w:type="spellStart"/>
      <w:r w:rsidR="00F17528">
        <w:t>color</w:t>
      </w:r>
      <w:proofErr w:type="spellEnd"/>
      <w:r w:rsidR="00F17528">
        <w:t>, where both uplinks are transmitting. In these periods there could be intermodulation effects. There are several solutions to deal with this:</w:t>
      </w:r>
    </w:p>
    <w:p w14:paraId="7E116A18" w14:textId="19F6C037" w:rsidR="00F17528" w:rsidRDefault="00F17528" w:rsidP="00F17528">
      <w:pPr>
        <w:pStyle w:val="ListParagraph"/>
        <w:numPr>
          <w:ilvl w:val="0"/>
          <w:numId w:val="15"/>
        </w:numPr>
      </w:pPr>
      <w:r>
        <w:t xml:space="preserve">We can simply ignore this effect. It will be an extremely short period (typically &lt;5µsec), so other mechanisms will compensate for this addition interference (coding, outer loop link adaptation, HARQ retransmission). On </w:t>
      </w:r>
      <w:r>
        <w:lastRenderedPageBreak/>
        <w:t xml:space="preserve">the other hand, the intermodulation effects may disturb the first symbol of </w:t>
      </w:r>
      <w:r w:rsidR="006E1A92">
        <w:t xml:space="preserve">a </w:t>
      </w:r>
      <w:r w:rsidR="005A6A03">
        <w:t xml:space="preserve">(downlink) </w:t>
      </w:r>
      <w:r w:rsidR="006E1A92">
        <w:t>subframe</w:t>
      </w:r>
      <w:r>
        <w:t xml:space="preserve"> which contains the PDCCH; then the degradation can be more severe, since failed PDCCH detection makes the whole subframe unusable.</w:t>
      </w:r>
    </w:p>
    <w:p w14:paraId="33F3B5FB" w14:textId="2430D855" w:rsidR="009B1AB2" w:rsidRDefault="00F17528" w:rsidP="00BD130E">
      <w:pPr>
        <w:pStyle w:val="ListParagraph"/>
        <w:numPr>
          <w:ilvl w:val="0"/>
          <w:numId w:val="15"/>
        </w:numPr>
      </w:pPr>
      <w:r>
        <w:t xml:space="preserve">To be on the safe side, </w:t>
      </w:r>
      <w:r w:rsidR="00C85AC6">
        <w:t xml:space="preserve">one uplink subframe, or a part of an uplink subframe </w:t>
      </w:r>
      <w:proofErr w:type="gramStart"/>
      <w:r w:rsidR="00C85AC6">
        <w:t>has to</w:t>
      </w:r>
      <w:proofErr w:type="gramEnd"/>
      <w:r w:rsidR="00C85AC6">
        <w:t xml:space="preserve"> be sacrificed as a guard period. This could be done similarly to the “special subframe” in the TDD patterns.</w:t>
      </w:r>
    </w:p>
    <w:p w14:paraId="6E26500F" w14:textId="2666B44F" w:rsidR="00C85AC6" w:rsidRPr="006E509C" w:rsidRDefault="00C85AC6" w:rsidP="006E509C">
      <w:pPr>
        <w:keepNext/>
        <w:rPr>
          <w:b/>
        </w:rPr>
      </w:pPr>
      <w:r w:rsidRPr="00227075">
        <w:rPr>
          <w:b/>
        </w:rPr>
        <w:t xml:space="preserve">Proposal </w:t>
      </w:r>
      <w:r w:rsidR="00746945">
        <w:rPr>
          <w:b/>
        </w:rPr>
        <w:t>4</w:t>
      </w:r>
      <w:r w:rsidRPr="00227075">
        <w:rPr>
          <w:b/>
        </w:rPr>
        <w:t xml:space="preserve">: </w:t>
      </w:r>
      <w:r>
        <w:rPr>
          <w:b/>
        </w:rPr>
        <w:t xml:space="preserve">RAN2 is asked to discuss and </w:t>
      </w:r>
      <w:r w:rsidR="00E41300">
        <w:rPr>
          <w:b/>
        </w:rPr>
        <w:t>consult with RAN4</w:t>
      </w:r>
      <w:r>
        <w:rPr>
          <w:b/>
        </w:rPr>
        <w:t xml:space="preserve">, whether intermodulation can be tolerated during the asynchronous phases before/after switching the uplinks, or whether guard periods </w:t>
      </w:r>
      <w:proofErr w:type="gramStart"/>
      <w:r>
        <w:rPr>
          <w:b/>
        </w:rPr>
        <w:t>have to</w:t>
      </w:r>
      <w:proofErr w:type="gramEnd"/>
      <w:r>
        <w:rPr>
          <w:b/>
        </w:rPr>
        <w:t xml:space="preserve"> be defined.</w:t>
      </w:r>
    </w:p>
    <w:p w14:paraId="668EB089" w14:textId="12BA73E4" w:rsidR="00BD130E" w:rsidRDefault="008C3989" w:rsidP="00BD130E">
      <w:pPr>
        <w:pStyle w:val="Heading1"/>
      </w:pPr>
      <w:r>
        <w:t>5</w:t>
      </w:r>
      <w:r w:rsidR="00BD130E" w:rsidRPr="006E13D1">
        <w:tab/>
      </w:r>
      <w:r w:rsidR="00C95C60">
        <w:t>Impact on interruption</w:t>
      </w:r>
    </w:p>
    <w:p w14:paraId="3ECC9E8D" w14:textId="1998D12C" w:rsidR="006E509C" w:rsidRDefault="00975A83" w:rsidP="006E509C">
      <w:pPr>
        <w:rPr>
          <w:lang w:val="en-US"/>
        </w:rPr>
      </w:pPr>
      <w:r>
        <w:rPr>
          <w:lang w:val="en-US"/>
        </w:rPr>
        <w:t>Herein</w:t>
      </w:r>
      <w:r w:rsidR="006E509C">
        <w:rPr>
          <w:lang w:val="en-US"/>
        </w:rPr>
        <w:t>, we discuss the impact of the single uplink operation on the user data interruption. Wh</w:t>
      </w:r>
      <w:r>
        <w:rPr>
          <w:lang w:val="en-US"/>
        </w:rPr>
        <w:t>ile</w:t>
      </w:r>
      <w:r w:rsidR="006E509C">
        <w:rPr>
          <w:lang w:val="en-US"/>
        </w:rPr>
        <w:t xml:space="preserve"> the uplink switching will definitely introduce an uplink interruption on the individual connections, the UE is still able to send uplink packets to the network at any time, either via source or via the target connection</w:t>
      </w:r>
      <w:r w:rsidR="00FA04AE">
        <w:rPr>
          <w:lang w:val="en-US"/>
        </w:rPr>
        <w:t>, at least with appropriate choice of the TDD pattern</w:t>
      </w:r>
      <w:r>
        <w:rPr>
          <w:lang w:val="en-US"/>
        </w:rPr>
        <w:t>,</w:t>
      </w:r>
      <w:r w:rsidR="00FA04AE">
        <w:rPr>
          <w:lang w:val="en-US"/>
        </w:rPr>
        <w:t xml:space="preserve"> such as e.g. the green case in </w:t>
      </w:r>
      <w:r w:rsidR="00FA04AE">
        <w:rPr>
          <w:lang w:val="en-US"/>
        </w:rPr>
        <w:fldChar w:fldCharType="begin"/>
      </w:r>
      <w:r w:rsidR="00FA04AE">
        <w:rPr>
          <w:lang w:val="en-US"/>
        </w:rPr>
        <w:instrText xml:space="preserve"> REF _Ref532834967 \h </w:instrText>
      </w:r>
      <w:r w:rsidR="00FA04AE">
        <w:rPr>
          <w:lang w:val="en-US"/>
        </w:rPr>
      </w:r>
      <w:r w:rsidR="00FA04AE">
        <w:rPr>
          <w:lang w:val="en-US"/>
        </w:rPr>
        <w:fldChar w:fldCharType="separate"/>
      </w:r>
      <w:r w:rsidR="00FA04AE">
        <w:t xml:space="preserve">Table </w:t>
      </w:r>
      <w:r w:rsidR="00FA04AE">
        <w:rPr>
          <w:noProof/>
        </w:rPr>
        <w:t>2</w:t>
      </w:r>
      <w:r w:rsidR="00FA04AE">
        <w:rPr>
          <w:lang w:val="en-US"/>
        </w:rPr>
        <w:fldChar w:fldCharType="end"/>
      </w:r>
      <w:r w:rsidR="00FA04AE">
        <w:rPr>
          <w:lang w:val="en-US"/>
        </w:rPr>
        <w:t>.</w:t>
      </w:r>
    </w:p>
    <w:p w14:paraId="6BEAB07C" w14:textId="2D12446C" w:rsidR="006E509C" w:rsidRDefault="006E509C" w:rsidP="006E509C">
      <w:pPr>
        <w:rPr>
          <w:lang w:val="en-US"/>
        </w:rPr>
      </w:pPr>
      <w:r>
        <w:rPr>
          <w:lang w:val="en-US"/>
        </w:rPr>
        <w:t xml:space="preserve">However, there will be an uplink interruption during the RACH procedure. Since the UE can send uplink packets </w:t>
      </w:r>
      <w:r w:rsidR="00EB329D">
        <w:rPr>
          <w:lang w:val="en-US"/>
        </w:rPr>
        <w:t xml:space="preserve">neither </w:t>
      </w:r>
      <w:r>
        <w:rPr>
          <w:lang w:val="en-US"/>
        </w:rPr>
        <w:t xml:space="preserve">to the source cell while </w:t>
      </w:r>
      <w:r w:rsidR="000B7796">
        <w:rPr>
          <w:lang w:val="en-US"/>
        </w:rPr>
        <w:t xml:space="preserve">performing RACH to </w:t>
      </w:r>
      <w:r>
        <w:rPr>
          <w:lang w:val="en-US"/>
        </w:rPr>
        <w:t>the target cell</w:t>
      </w:r>
      <w:r w:rsidR="006B1B9E">
        <w:rPr>
          <w:lang w:val="en-US"/>
        </w:rPr>
        <w:t xml:space="preserve"> (to avoid intermodulation), nor to the target cell (yet), there will be uplink transmission gaps. These gaps </w:t>
      </w:r>
      <w:proofErr w:type="gramStart"/>
      <w:r w:rsidR="006B1B9E">
        <w:rPr>
          <w:lang w:val="en-US"/>
        </w:rPr>
        <w:t>have to</w:t>
      </w:r>
      <w:proofErr w:type="gramEnd"/>
      <w:r w:rsidR="006B1B9E">
        <w:rPr>
          <w:lang w:val="en-US"/>
        </w:rPr>
        <w:t xml:space="preserve"> be studied.</w:t>
      </w:r>
    </w:p>
    <w:p w14:paraId="11F83DCF" w14:textId="30D7B176" w:rsidR="006B1B9E" w:rsidRDefault="006B1B9E" w:rsidP="006E509C">
      <w:pPr>
        <w:rPr>
          <w:lang w:val="en-US"/>
        </w:rPr>
      </w:pPr>
      <w:r>
        <w:rPr>
          <w:lang w:val="en-US"/>
        </w:rPr>
        <w:t>For networks</w:t>
      </w:r>
      <w:r w:rsidR="005A6A03">
        <w:rPr>
          <w:lang w:val="en-US"/>
        </w:rPr>
        <w:t xml:space="preserve"> with non-negligible uplink timing differences</w:t>
      </w:r>
      <w:r>
        <w:rPr>
          <w:lang w:val="en-US"/>
        </w:rPr>
        <w:t xml:space="preserve">, we have discussed above that guard periods might be needed. These will also impact interruption </w:t>
      </w:r>
      <w:proofErr w:type="gramStart"/>
      <w:r>
        <w:rPr>
          <w:lang w:val="en-US"/>
        </w:rPr>
        <w:t>time,</w:t>
      </w:r>
      <w:proofErr w:type="gramEnd"/>
      <w:r>
        <w:rPr>
          <w:lang w:val="en-US"/>
        </w:rPr>
        <w:t xml:space="preserve"> however those can probably be kept small</w:t>
      </w:r>
      <w:r w:rsidR="00746945">
        <w:rPr>
          <w:lang w:val="en-US"/>
        </w:rPr>
        <w:t xml:space="preserve"> (&lt;1ms)</w:t>
      </w:r>
      <w:r>
        <w:rPr>
          <w:lang w:val="en-US"/>
        </w:rPr>
        <w:t>.</w:t>
      </w:r>
      <w:r w:rsidR="00746945">
        <w:rPr>
          <w:lang w:val="en-US"/>
        </w:rPr>
        <w:t xml:space="preserve"> Even without investing</w:t>
      </w:r>
      <w:r w:rsidR="00B473E5">
        <w:rPr>
          <w:lang w:val="en-US"/>
        </w:rPr>
        <w:t xml:space="preserve"> in</w:t>
      </w:r>
      <w:r w:rsidR="00746945">
        <w:rPr>
          <w:lang w:val="en-US"/>
        </w:rPr>
        <w:t xml:space="preserve"> guard period, there could be a small gap indicated by green color in</w:t>
      </w:r>
      <w:r w:rsidR="009439CA">
        <w:rPr>
          <w:lang w:val="en-US"/>
        </w:rPr>
        <w:t xml:space="preserve"> </w:t>
      </w:r>
      <w:r w:rsidR="00F74381">
        <w:rPr>
          <w:lang w:val="en-US"/>
        </w:rPr>
        <w:fldChar w:fldCharType="begin"/>
      </w:r>
      <w:r w:rsidR="00F74381">
        <w:rPr>
          <w:lang w:val="en-US"/>
        </w:rPr>
        <w:instrText xml:space="preserve"> REF _Ref532836083 \h </w:instrText>
      </w:r>
      <w:r w:rsidR="00F74381">
        <w:rPr>
          <w:lang w:val="en-US"/>
        </w:rPr>
      </w:r>
      <w:r w:rsidR="00F74381">
        <w:rPr>
          <w:lang w:val="en-US"/>
        </w:rPr>
        <w:fldChar w:fldCharType="separate"/>
      </w:r>
      <w:r w:rsidR="00F74381">
        <w:t xml:space="preserve">Figure </w:t>
      </w:r>
      <w:r w:rsidR="00F74381">
        <w:rPr>
          <w:noProof/>
        </w:rPr>
        <w:t>3</w:t>
      </w:r>
      <w:r w:rsidR="00F74381">
        <w:rPr>
          <w:lang w:val="en-US"/>
        </w:rPr>
        <w:fldChar w:fldCharType="end"/>
      </w:r>
      <w:r w:rsidR="00746945">
        <w:rPr>
          <w:lang w:val="en-US"/>
        </w:rPr>
        <w:t>, but these will be in the range of micro seconds and thus can b</w:t>
      </w:r>
      <w:r w:rsidR="00B473E5">
        <w:rPr>
          <w:lang w:val="en-US"/>
        </w:rPr>
        <w:t>e</w:t>
      </w:r>
      <w:r w:rsidR="00746945">
        <w:rPr>
          <w:lang w:val="en-US"/>
        </w:rPr>
        <w:t xml:space="preserve"> neglected from our point of view.</w:t>
      </w:r>
    </w:p>
    <w:p w14:paraId="4B8ADA2C" w14:textId="3E6CA2A1" w:rsidR="006B1B9E" w:rsidRDefault="006B1B9E" w:rsidP="006E509C">
      <w:pPr>
        <w:rPr>
          <w:lang w:val="en-US"/>
        </w:rPr>
      </w:pPr>
      <w:r>
        <w:rPr>
          <w:lang w:val="en-US"/>
        </w:rPr>
        <w:t xml:space="preserve">So far, we have addressed intermodulation problems. If the goal is to have a single Tx implementation at the UE, the guard periods </w:t>
      </w:r>
      <w:proofErr w:type="gramStart"/>
      <w:r>
        <w:rPr>
          <w:lang w:val="en-US"/>
        </w:rPr>
        <w:t>have to</w:t>
      </w:r>
      <w:proofErr w:type="gramEnd"/>
      <w:r>
        <w:rPr>
          <w:lang w:val="en-US"/>
        </w:rPr>
        <w:t xml:space="preserve"> be longer to allow for retuning the (single) uplink RF.</w:t>
      </w:r>
    </w:p>
    <w:p w14:paraId="68A7D4ED" w14:textId="5EB0329E" w:rsidR="006B1B9E" w:rsidRDefault="006B1B9E" w:rsidP="006E509C">
      <w:pPr>
        <w:rPr>
          <w:lang w:val="en-US"/>
        </w:rPr>
      </w:pPr>
      <w:r>
        <w:rPr>
          <w:lang w:val="en-US"/>
        </w:rPr>
        <w:t xml:space="preserve">The downlink user data interruption should not be impacted directly. There might be indirect impact since downlink retransmissions </w:t>
      </w:r>
      <w:r w:rsidR="005A6A03">
        <w:rPr>
          <w:lang w:val="en-US"/>
        </w:rPr>
        <w:t xml:space="preserve">will </w:t>
      </w:r>
      <w:r>
        <w:rPr>
          <w:lang w:val="en-US"/>
        </w:rPr>
        <w:t>be delayed; however, this does not affect the definition according to</w:t>
      </w:r>
      <w:r w:rsidR="00975A83">
        <w:rPr>
          <w:lang w:val="en-US"/>
        </w:rPr>
        <w:t xml:space="preserve"> e.g. TR 36.881</w:t>
      </w:r>
      <w:r w:rsidR="00705A1C">
        <w:rPr>
          <w:lang w:val="en-US"/>
        </w:rPr>
        <w:fldChar w:fldCharType="begin"/>
      </w:r>
      <w:r w:rsidR="00705A1C">
        <w:rPr>
          <w:lang w:val="en-US"/>
        </w:rPr>
        <w:instrText xml:space="preserve"> REF _Ref434303 \r \h </w:instrText>
      </w:r>
      <w:r w:rsidR="00705A1C">
        <w:rPr>
          <w:lang w:val="en-US"/>
        </w:rPr>
      </w:r>
      <w:r w:rsidR="00705A1C">
        <w:rPr>
          <w:lang w:val="en-US"/>
        </w:rPr>
        <w:fldChar w:fldCharType="separate"/>
      </w:r>
      <w:r w:rsidR="00705A1C">
        <w:rPr>
          <w:lang w:val="en-US"/>
        </w:rPr>
        <w:t>[3]</w:t>
      </w:r>
      <w:r w:rsidR="00705A1C">
        <w:rPr>
          <w:lang w:val="en-US"/>
        </w:rPr>
        <w:fldChar w:fldCharType="end"/>
      </w:r>
      <w:r w:rsidR="00705A1C">
        <w:rPr>
          <w:lang w:val="en-US"/>
        </w:rPr>
        <w:t>.</w:t>
      </w:r>
    </w:p>
    <w:p w14:paraId="7164EE6B" w14:textId="118F358C" w:rsidR="006B1B9E" w:rsidRPr="006E509C" w:rsidRDefault="006B1B9E" w:rsidP="006B1B9E">
      <w:pPr>
        <w:keepNext/>
        <w:rPr>
          <w:b/>
        </w:rPr>
      </w:pPr>
      <w:r>
        <w:rPr>
          <w:b/>
        </w:rPr>
        <w:t xml:space="preserve">Observation </w:t>
      </w:r>
      <w:r w:rsidR="00B473E5">
        <w:rPr>
          <w:b/>
        </w:rPr>
        <w:t>3</w:t>
      </w:r>
      <w:r w:rsidRPr="00227075">
        <w:rPr>
          <w:b/>
        </w:rPr>
        <w:t xml:space="preserve">: </w:t>
      </w:r>
      <w:r>
        <w:rPr>
          <w:b/>
        </w:rPr>
        <w:t xml:space="preserve">Single Uplink operation will not impact downlink user data interruption </w:t>
      </w:r>
      <w:r w:rsidR="00B473E5">
        <w:rPr>
          <w:b/>
        </w:rPr>
        <w:t xml:space="preserve">as per </w:t>
      </w:r>
      <w:r>
        <w:rPr>
          <w:b/>
        </w:rPr>
        <w:t xml:space="preserve">the definition </w:t>
      </w:r>
      <w:r w:rsidR="00B473E5">
        <w:rPr>
          <w:b/>
        </w:rPr>
        <w:t>in</w:t>
      </w:r>
      <w:r>
        <w:rPr>
          <w:b/>
        </w:rPr>
        <w:t xml:space="preserve"> </w:t>
      </w:r>
      <w:r w:rsidR="00705A1C">
        <w:rPr>
          <w:b/>
        </w:rPr>
        <w:t>36.881</w:t>
      </w:r>
      <w:r>
        <w:rPr>
          <w:b/>
        </w:rPr>
        <w:t>.</w:t>
      </w:r>
    </w:p>
    <w:p w14:paraId="177681B9" w14:textId="3E05EA04" w:rsidR="006B1B9E" w:rsidRDefault="006B1B9E" w:rsidP="006B1B9E">
      <w:pPr>
        <w:keepNext/>
        <w:rPr>
          <w:b/>
        </w:rPr>
      </w:pPr>
      <w:r>
        <w:rPr>
          <w:b/>
        </w:rPr>
        <w:t xml:space="preserve">Observation </w:t>
      </w:r>
      <w:r w:rsidR="00B473E5">
        <w:rPr>
          <w:b/>
        </w:rPr>
        <w:t>4</w:t>
      </w:r>
      <w:r w:rsidRPr="00227075">
        <w:rPr>
          <w:b/>
        </w:rPr>
        <w:t xml:space="preserve">: </w:t>
      </w:r>
      <w:r>
        <w:rPr>
          <w:b/>
        </w:rPr>
        <w:t>Single Uplink operation will</w:t>
      </w:r>
      <w:r w:rsidR="006567CB">
        <w:rPr>
          <w:b/>
        </w:rPr>
        <w:t xml:space="preserve"> </w:t>
      </w:r>
      <w:r>
        <w:rPr>
          <w:b/>
        </w:rPr>
        <w:t xml:space="preserve">impact </w:t>
      </w:r>
      <w:r w:rsidR="006567CB">
        <w:rPr>
          <w:b/>
        </w:rPr>
        <w:t>uplink</w:t>
      </w:r>
      <w:r>
        <w:rPr>
          <w:b/>
        </w:rPr>
        <w:t xml:space="preserve"> user data interruption </w:t>
      </w:r>
      <w:r w:rsidR="006567CB">
        <w:rPr>
          <w:b/>
        </w:rPr>
        <w:t xml:space="preserve">at least during the RACH period. For </w:t>
      </w:r>
      <w:r w:rsidR="005A6A03">
        <w:rPr>
          <w:b/>
        </w:rPr>
        <w:t>non-negligible uplink timing differences,</w:t>
      </w:r>
      <w:r w:rsidR="006567CB">
        <w:rPr>
          <w:b/>
        </w:rPr>
        <w:t xml:space="preserve"> there might be additional interruption components. Similarly, single TX implementations will also add interruption time for RF retuning.</w:t>
      </w:r>
    </w:p>
    <w:p w14:paraId="387D869B" w14:textId="3A334B25" w:rsidR="009F27CD" w:rsidRDefault="009F27CD" w:rsidP="006B1B9E">
      <w:pPr>
        <w:keepNext/>
        <w:rPr>
          <w:b/>
        </w:rPr>
      </w:pPr>
      <w:r>
        <w:rPr>
          <w:b/>
        </w:rPr>
        <w:t xml:space="preserve">Proposal </w:t>
      </w:r>
      <w:r w:rsidR="00746945">
        <w:rPr>
          <w:b/>
        </w:rPr>
        <w:t>5</w:t>
      </w:r>
      <w:r>
        <w:rPr>
          <w:b/>
        </w:rPr>
        <w:t>: RAN2 is asked to study the impact of single uplink operation on uplink interruption time.</w:t>
      </w:r>
    </w:p>
    <w:p w14:paraId="320A2896" w14:textId="334C9CE3" w:rsidR="0096411D" w:rsidRDefault="0096411D" w:rsidP="0096411D">
      <w:pPr>
        <w:pStyle w:val="Heading1"/>
      </w:pPr>
      <w:r>
        <w:t>6</w:t>
      </w:r>
      <w:r w:rsidRPr="006E13D1">
        <w:tab/>
      </w:r>
      <w:r>
        <w:t>TDD and FDD</w:t>
      </w:r>
    </w:p>
    <w:p w14:paraId="116B06CC" w14:textId="6468307C" w:rsidR="00A5081B" w:rsidRDefault="0096411D" w:rsidP="00125318">
      <w:pPr>
        <w:rPr>
          <w:lang w:val="en-US"/>
        </w:rPr>
      </w:pPr>
      <w:r>
        <w:rPr>
          <w:lang w:val="en-US"/>
        </w:rPr>
        <w:t xml:space="preserve">The above discussion was based on LTE FDD. </w:t>
      </w:r>
      <w:r w:rsidR="00125318">
        <w:rPr>
          <w:lang w:val="en-US"/>
        </w:rPr>
        <w:t xml:space="preserve">For TDD, the first, obvious constraint is that both source and target cell </w:t>
      </w:r>
      <w:proofErr w:type="gramStart"/>
      <w:r w:rsidR="00125318">
        <w:rPr>
          <w:lang w:val="en-US"/>
        </w:rPr>
        <w:t>have to</w:t>
      </w:r>
      <w:proofErr w:type="gramEnd"/>
      <w:r w:rsidR="00125318">
        <w:rPr>
          <w:lang w:val="en-US"/>
        </w:rPr>
        <w:t xml:space="preserve"> use the same TDD pattern. Since we assume intra-frequency handovers, the UE cannot receive </w:t>
      </w:r>
      <w:r w:rsidR="00125318" w:rsidRPr="00125318">
        <w:rPr>
          <w:i/>
          <w:lang w:val="en-US"/>
        </w:rPr>
        <w:t>any</w:t>
      </w:r>
      <w:r w:rsidR="00125318">
        <w:rPr>
          <w:lang w:val="en-US"/>
        </w:rPr>
        <w:t xml:space="preserve"> downlink signal (from target or source) while transmitting </w:t>
      </w:r>
      <w:r w:rsidR="00125318" w:rsidRPr="00125318">
        <w:rPr>
          <w:i/>
          <w:lang w:val="en-US"/>
        </w:rPr>
        <w:t>any</w:t>
      </w:r>
      <w:r w:rsidR="00125318">
        <w:rPr>
          <w:lang w:val="en-US"/>
        </w:rPr>
        <w:t xml:space="preserve"> uplink signal (to source or target).</w:t>
      </w:r>
      <w:r w:rsidR="00570B6F">
        <w:rPr>
          <w:lang w:val="en-US"/>
        </w:rPr>
        <w:t xml:space="preserve"> In other words, source and target </w:t>
      </w:r>
      <w:proofErr w:type="gramStart"/>
      <w:r w:rsidR="00570B6F">
        <w:rPr>
          <w:lang w:val="en-US"/>
        </w:rPr>
        <w:t>have to</w:t>
      </w:r>
      <w:proofErr w:type="gramEnd"/>
      <w:r w:rsidR="00570B6F">
        <w:rPr>
          <w:lang w:val="en-US"/>
        </w:rPr>
        <w:t xml:space="preserve"> use the same TDD pattern.</w:t>
      </w:r>
    </w:p>
    <w:p w14:paraId="7D676B4A" w14:textId="29AA2A40" w:rsidR="00125318" w:rsidRDefault="00125318" w:rsidP="00125318">
      <w:pPr>
        <w:rPr>
          <w:lang w:val="en-US"/>
        </w:rPr>
      </w:pPr>
      <w:proofErr w:type="gramStart"/>
      <w:r>
        <w:rPr>
          <w:lang w:val="en-US"/>
        </w:rPr>
        <w:t>As a consequence</w:t>
      </w:r>
      <w:proofErr w:type="gramEnd"/>
      <w:r>
        <w:rPr>
          <w:lang w:val="en-US"/>
        </w:rPr>
        <w:t>, intermodulation problems do not exist by definition in the TDD case, at least not inside the carrier of interest. Intermodulation products may exist, but th</w:t>
      </w:r>
      <w:r w:rsidR="0004234A">
        <w:rPr>
          <w:lang w:val="en-US"/>
        </w:rPr>
        <w:t>ose</w:t>
      </w:r>
      <w:r>
        <w:rPr>
          <w:lang w:val="en-US"/>
        </w:rPr>
        <w:t xml:space="preserve"> </w:t>
      </w:r>
      <w:r w:rsidR="0004234A">
        <w:rPr>
          <w:lang w:val="en-US"/>
        </w:rPr>
        <w:t>can</w:t>
      </w:r>
      <w:r>
        <w:rPr>
          <w:lang w:val="en-US"/>
        </w:rPr>
        <w:t>not harm the reception of the downlink</w:t>
      </w:r>
      <w:r w:rsidR="0004234A">
        <w:rPr>
          <w:lang w:val="en-US"/>
        </w:rPr>
        <w:t>. It should be further checked whether the intermodulation products may harm downlink reception of other LTE carr</w:t>
      </w:r>
      <w:r w:rsidR="00570B6F">
        <w:rPr>
          <w:lang w:val="en-US"/>
        </w:rPr>
        <w:t>i</w:t>
      </w:r>
      <w:r w:rsidR="0004234A">
        <w:rPr>
          <w:lang w:val="en-US"/>
        </w:rPr>
        <w:t>ers (in case CA or DC is used in addition), or of other RATs implemented in the terminal (e.g. WLAN, Bluetooth, 3G).</w:t>
      </w:r>
    </w:p>
    <w:p w14:paraId="0023B03F" w14:textId="13D2972A" w:rsidR="00570B6F" w:rsidRDefault="00570B6F" w:rsidP="00125318">
      <w:pPr>
        <w:rPr>
          <w:lang w:val="en-US"/>
        </w:rPr>
      </w:pPr>
      <w:r>
        <w:rPr>
          <w:lang w:val="en-US"/>
        </w:rPr>
        <w:t>Hence, we believe that simultaneous</w:t>
      </w:r>
      <w:r w:rsidR="009439CA">
        <w:rPr>
          <w:lang w:val="en-US"/>
        </w:rPr>
        <w:t>ly transmitted</w:t>
      </w:r>
      <w:r>
        <w:rPr>
          <w:lang w:val="en-US"/>
        </w:rPr>
        <w:t xml:space="preserve"> uplink in TDD do not lead to problems, </w:t>
      </w:r>
      <w:proofErr w:type="gramStart"/>
      <w:r>
        <w:rPr>
          <w:lang w:val="en-US"/>
        </w:rPr>
        <w:t xml:space="preserve">as long </w:t>
      </w:r>
      <w:r w:rsidR="006D781C">
        <w:rPr>
          <w:lang w:val="en-US"/>
        </w:rPr>
        <w:t>as</w:t>
      </w:r>
      <w:proofErr w:type="gramEnd"/>
      <w:r w:rsidR="006D781C">
        <w:rPr>
          <w:lang w:val="en-US"/>
        </w:rPr>
        <w:t xml:space="preserve"> </w:t>
      </w:r>
      <w:r>
        <w:rPr>
          <w:lang w:val="en-US"/>
        </w:rPr>
        <w:t>potential victim downlink timeslots are different than uplink timeslots. If single Tx implementation should be desired, a solution with existing TDD patterns cannot exist.</w:t>
      </w:r>
      <w:r w:rsidR="0092239B">
        <w:rPr>
          <w:lang w:val="en-US"/>
        </w:rPr>
        <w:t xml:space="preserve"> Additional uplink blanking (without downlink transmission) would be needed for single Tx usage, and this blanking would again require a re-design of the HARQ timing.</w:t>
      </w:r>
    </w:p>
    <w:p w14:paraId="077945D8" w14:textId="4BADFDC0" w:rsidR="0092239B" w:rsidRDefault="0092239B" w:rsidP="00125318">
      <w:pPr>
        <w:rPr>
          <w:lang w:val="en-US"/>
        </w:rPr>
      </w:pPr>
      <w:r>
        <w:rPr>
          <w:lang w:val="en-US"/>
        </w:rPr>
        <w:t>On the other hand, TDD inherently has non-zero interruption. During the uplink phases (1ms-3ms) we cannot exchange any downlink packets, and during the downlink phases (1ms-8ms) we cannot exchange uplink packets.</w:t>
      </w:r>
      <w:r w:rsidR="00906D13">
        <w:rPr>
          <w:lang w:val="en-US"/>
        </w:rPr>
        <w:t xml:space="preserve"> The handover interruption time might be bottle-necked by the TDD interruption. Hence, TDD will not be the method of choice when the handover interruption is required to be as close to 0ms as possible.</w:t>
      </w:r>
    </w:p>
    <w:p w14:paraId="6CEC9A32" w14:textId="671DBB6B" w:rsidR="00906D13" w:rsidRDefault="00906D13" w:rsidP="00125318">
      <w:pPr>
        <w:rPr>
          <w:lang w:val="en-US"/>
        </w:rPr>
      </w:pPr>
      <w:proofErr w:type="gramStart"/>
      <w:r>
        <w:rPr>
          <w:lang w:val="en-US"/>
        </w:rPr>
        <w:lastRenderedPageBreak/>
        <w:t>As a consequence</w:t>
      </w:r>
      <w:proofErr w:type="gramEnd"/>
      <w:r>
        <w:rPr>
          <w:lang w:val="en-US"/>
        </w:rPr>
        <w:t>, we propose to limit single uplink o</w:t>
      </w:r>
      <w:r w:rsidR="00304540">
        <w:rPr>
          <w:lang w:val="en-US"/>
        </w:rPr>
        <w:t xml:space="preserve">peration to FDD. A TDD single uplink solution is either not needed (intermodulation products create less harm than in FDD), </w:t>
      </w:r>
      <w:r w:rsidR="008E5F3C">
        <w:rPr>
          <w:lang w:val="en-US"/>
        </w:rPr>
        <w:t xml:space="preserve">it </w:t>
      </w:r>
      <w:r w:rsidR="00304540">
        <w:rPr>
          <w:lang w:val="en-US"/>
        </w:rPr>
        <w:t>or would require much more effort than FDD (re-design of HARQ timing).</w:t>
      </w:r>
    </w:p>
    <w:p w14:paraId="28418DD6" w14:textId="273D62F6" w:rsidR="0092239B" w:rsidRPr="00227075" w:rsidRDefault="00304540" w:rsidP="00304540">
      <w:pPr>
        <w:keepNext/>
        <w:rPr>
          <w:b/>
        </w:rPr>
      </w:pPr>
      <w:r>
        <w:rPr>
          <w:b/>
        </w:rPr>
        <w:t xml:space="preserve">Proposal 6: </w:t>
      </w:r>
      <w:r w:rsidR="009E1F38">
        <w:rPr>
          <w:b/>
        </w:rPr>
        <w:t>S</w:t>
      </w:r>
      <w:r w:rsidR="009E1F38" w:rsidRPr="009E1F38">
        <w:rPr>
          <w:b/>
        </w:rPr>
        <w:t>ingle uplink operation</w:t>
      </w:r>
      <w:r w:rsidR="009E1F38">
        <w:rPr>
          <w:b/>
        </w:rPr>
        <w:t xml:space="preserve"> shall be limited</w:t>
      </w:r>
      <w:r w:rsidR="009E1F38" w:rsidRPr="009E1F38">
        <w:rPr>
          <w:b/>
        </w:rPr>
        <w:t xml:space="preserve"> to FDD</w:t>
      </w:r>
      <w:r w:rsidR="0054507B">
        <w:rPr>
          <w:b/>
        </w:rPr>
        <w:t xml:space="preserve"> (like with EN-DC)</w:t>
      </w:r>
      <w:r w:rsidR="009E1F38" w:rsidRPr="009E1F38">
        <w:rPr>
          <w:b/>
        </w:rPr>
        <w:t xml:space="preserve">. A TDD </w:t>
      </w:r>
      <w:r w:rsidR="008E5F3C">
        <w:rPr>
          <w:b/>
        </w:rPr>
        <w:t xml:space="preserve">solution </w:t>
      </w:r>
      <w:r w:rsidR="009E1F38" w:rsidRPr="009E1F38">
        <w:rPr>
          <w:b/>
        </w:rPr>
        <w:t xml:space="preserve">is either not needed (intermodulation products create less harm than in FDD), or </w:t>
      </w:r>
      <w:r w:rsidR="008E5F3C">
        <w:rPr>
          <w:b/>
        </w:rPr>
        <w:t xml:space="preserve">it </w:t>
      </w:r>
      <w:r w:rsidR="009E1F38" w:rsidRPr="009E1F38">
        <w:rPr>
          <w:b/>
        </w:rPr>
        <w:t>would require much more effort than FDD (re-design of HARQ timing).</w:t>
      </w:r>
    </w:p>
    <w:p w14:paraId="17111160" w14:textId="10FDD9E3" w:rsidR="00A521C4" w:rsidRPr="006E13D1" w:rsidRDefault="00D32FF8" w:rsidP="00A521C4">
      <w:pPr>
        <w:pStyle w:val="Heading1"/>
      </w:pPr>
      <w:r>
        <w:t>7</w:t>
      </w:r>
      <w:r w:rsidR="00A521C4" w:rsidRPr="006E13D1">
        <w:tab/>
      </w:r>
      <w:r w:rsidR="00A521C4">
        <w:t>Conclusions</w:t>
      </w:r>
    </w:p>
    <w:p w14:paraId="79FB6E40" w14:textId="1ECF1196" w:rsidR="00E55E28" w:rsidRDefault="00D32FF8" w:rsidP="00C95C60">
      <w:r w:rsidRPr="00FE4318">
        <w:t xml:space="preserve">This paper discussed the </w:t>
      </w:r>
      <w:r>
        <w:t xml:space="preserve">simultaneous connectivity with single UL operation for E-UTRAN. </w:t>
      </w:r>
      <w:proofErr w:type="gramStart"/>
      <w:r>
        <w:t>In the course of</w:t>
      </w:r>
      <w:proofErr w:type="gramEnd"/>
      <w:r>
        <w:t xml:space="preserve"> the paper, we made the following observations and proposals:</w:t>
      </w:r>
    </w:p>
    <w:p w14:paraId="736EB839" w14:textId="77777777" w:rsidR="00FE4318" w:rsidRPr="00572F0D" w:rsidRDefault="00FE4318" w:rsidP="00FE4318">
      <w:pPr>
        <w:keepNext/>
        <w:rPr>
          <w:b/>
        </w:rPr>
      </w:pPr>
      <w:r w:rsidRPr="00227075">
        <w:rPr>
          <w:b/>
        </w:rPr>
        <w:t xml:space="preserve">Proposal 1: The single uplink solution for EN-DC </w:t>
      </w:r>
      <w:r>
        <w:rPr>
          <w:b/>
        </w:rPr>
        <w:t xml:space="preserve">should </w:t>
      </w:r>
      <w:r w:rsidRPr="00227075">
        <w:rPr>
          <w:b/>
        </w:rPr>
        <w:t xml:space="preserve">be considered when discussing a single uplink solution for </w:t>
      </w:r>
      <w:r>
        <w:rPr>
          <w:b/>
        </w:rPr>
        <w:t>simultaneous connectivity</w:t>
      </w:r>
      <w:r w:rsidRPr="00227075">
        <w:rPr>
          <w:b/>
        </w:rPr>
        <w:t xml:space="preserve"> handover.</w:t>
      </w:r>
    </w:p>
    <w:p w14:paraId="46D985E0" w14:textId="77777777" w:rsidR="00FE4318" w:rsidRPr="00227075" w:rsidRDefault="00FE4318" w:rsidP="00FE4318">
      <w:pPr>
        <w:keepNext/>
        <w:rPr>
          <w:b/>
        </w:rPr>
      </w:pPr>
      <w:r w:rsidRPr="00227075">
        <w:rPr>
          <w:b/>
        </w:rPr>
        <w:t xml:space="preserve">Observation 1: In contrast to the single uplink solution in EN-DC, the UE has to follow the tight HARQ timing constraints for both involved </w:t>
      </w:r>
      <w:r>
        <w:rPr>
          <w:b/>
        </w:rPr>
        <w:t xml:space="preserve">LTE </w:t>
      </w:r>
      <w:r w:rsidRPr="00227075">
        <w:rPr>
          <w:b/>
        </w:rPr>
        <w:t>cells.</w:t>
      </w:r>
    </w:p>
    <w:p w14:paraId="21F1C9A1" w14:textId="77777777" w:rsidR="00FE4318" w:rsidRPr="00227075" w:rsidRDefault="00FE4318" w:rsidP="00FE4318">
      <w:pPr>
        <w:keepNext/>
        <w:rPr>
          <w:b/>
        </w:rPr>
      </w:pPr>
      <w:r w:rsidRPr="00227075">
        <w:rPr>
          <w:b/>
        </w:rPr>
        <w:t xml:space="preserve">Observation </w:t>
      </w:r>
      <w:r>
        <w:rPr>
          <w:b/>
        </w:rPr>
        <w:t>2</w:t>
      </w:r>
      <w:r w:rsidRPr="00227075">
        <w:rPr>
          <w:b/>
        </w:rPr>
        <w:t xml:space="preserve">: </w:t>
      </w:r>
      <w:r>
        <w:rPr>
          <w:b/>
        </w:rPr>
        <w:t>Using an offset value, which is already present in the EN-DC SUO solution, pairs of TDD patterns with mutually exclusive uplink subframes exist.</w:t>
      </w:r>
    </w:p>
    <w:p w14:paraId="0FDAF97D" w14:textId="77777777" w:rsidR="00FE4318" w:rsidRPr="00F76E7E" w:rsidRDefault="00FE4318" w:rsidP="00FE4318">
      <w:pPr>
        <w:keepNext/>
        <w:rPr>
          <w:b/>
        </w:rPr>
      </w:pPr>
      <w:r w:rsidRPr="00227075">
        <w:rPr>
          <w:b/>
        </w:rPr>
        <w:t xml:space="preserve">Proposal </w:t>
      </w:r>
      <w:r>
        <w:rPr>
          <w:b/>
        </w:rPr>
        <w:t xml:space="preserve">2: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063FAFA7" w14:textId="77777777" w:rsidR="00FE4318" w:rsidRPr="00227075" w:rsidRDefault="00FE4318" w:rsidP="00FE4318">
      <w:pPr>
        <w:keepNext/>
        <w:rPr>
          <w:b/>
        </w:rPr>
      </w:pPr>
      <w:r w:rsidRPr="00227075">
        <w:rPr>
          <w:b/>
        </w:rPr>
        <w:t xml:space="preserve">Proposal </w:t>
      </w:r>
      <w:r>
        <w:rPr>
          <w:b/>
        </w:rPr>
        <w:t>3</w:t>
      </w:r>
      <w:r w:rsidRPr="00227075">
        <w:rPr>
          <w:b/>
        </w:rPr>
        <w:t xml:space="preserve">: </w:t>
      </w:r>
      <w:r>
        <w:rPr>
          <w:b/>
        </w:rPr>
        <w:t>A Liaison Statement shall be sent to RAN3 once the basic procedures have been clarified.</w:t>
      </w:r>
    </w:p>
    <w:p w14:paraId="11707545" w14:textId="77777777" w:rsidR="00FE4318" w:rsidRPr="006E509C" w:rsidRDefault="00FE4318" w:rsidP="00FE4318">
      <w:pPr>
        <w:keepNext/>
        <w:rPr>
          <w:b/>
        </w:rPr>
      </w:pPr>
      <w:r w:rsidRPr="00227075">
        <w:rPr>
          <w:b/>
        </w:rPr>
        <w:t xml:space="preserve">Proposal </w:t>
      </w:r>
      <w:r>
        <w:rPr>
          <w:b/>
        </w:rPr>
        <w:t>4</w:t>
      </w:r>
      <w:r w:rsidRPr="00227075">
        <w:rPr>
          <w:b/>
        </w:rPr>
        <w:t xml:space="preserve">: </w:t>
      </w:r>
      <w:r>
        <w:rPr>
          <w:b/>
        </w:rPr>
        <w:t>RAN2 is asked to discuss and consult with RAN4 , whether intermodulation can be tolerated during the asynchronous phases before/after switching the uplinks, or whether guard periods have to be defined.</w:t>
      </w:r>
    </w:p>
    <w:p w14:paraId="3900EE7F" w14:textId="77777777" w:rsidR="00FE4318" w:rsidRPr="006E509C" w:rsidRDefault="00FE4318" w:rsidP="00FE4318">
      <w:pPr>
        <w:keepNext/>
        <w:rPr>
          <w:b/>
        </w:rPr>
      </w:pPr>
      <w:r>
        <w:rPr>
          <w:b/>
        </w:rPr>
        <w:t>Observation 3</w:t>
      </w:r>
      <w:r w:rsidRPr="00227075">
        <w:rPr>
          <w:b/>
        </w:rPr>
        <w:t xml:space="preserve">: </w:t>
      </w:r>
      <w:r>
        <w:rPr>
          <w:b/>
        </w:rPr>
        <w:t>Single Uplink operation will not impact downlink user data interruption as per the definition in 36.881.</w:t>
      </w:r>
    </w:p>
    <w:p w14:paraId="73CA4817" w14:textId="77777777" w:rsidR="00FE4318" w:rsidRDefault="00FE4318" w:rsidP="00FE4318">
      <w:pPr>
        <w:keepNext/>
        <w:rPr>
          <w:b/>
        </w:rPr>
      </w:pPr>
      <w:r>
        <w:rPr>
          <w:b/>
        </w:rPr>
        <w:t>Observation 4</w:t>
      </w:r>
      <w:r w:rsidRPr="00227075">
        <w:rPr>
          <w:b/>
        </w:rPr>
        <w:t xml:space="preserve">: </w:t>
      </w:r>
      <w:r>
        <w:rPr>
          <w:b/>
        </w:rPr>
        <w:t>Single Uplink operation will impact uplink user data interruption at least during the RACH period. For non-negligible uplink timing differences, there might be additional interruption components. Similarly, single TX implementations will also add interruption time for RF retuning.</w:t>
      </w:r>
    </w:p>
    <w:p w14:paraId="323C7EE9" w14:textId="77777777" w:rsidR="00FE4318" w:rsidRDefault="00FE4318" w:rsidP="00FE4318">
      <w:pPr>
        <w:keepNext/>
        <w:rPr>
          <w:b/>
        </w:rPr>
      </w:pPr>
      <w:r>
        <w:rPr>
          <w:b/>
        </w:rPr>
        <w:t>Proposal 5: RAN2 is asked to study the impact of single uplink operation on uplink interruption time.</w:t>
      </w:r>
    </w:p>
    <w:p w14:paraId="08E279FE" w14:textId="6F054DA6" w:rsidR="00FE4318" w:rsidRPr="00FE4318" w:rsidRDefault="00FE4318" w:rsidP="00FE4318">
      <w:pPr>
        <w:keepNext/>
        <w:rPr>
          <w:b/>
        </w:rPr>
      </w:pPr>
      <w:r>
        <w:rPr>
          <w:b/>
        </w:rPr>
        <w:t>Proposal 6: S</w:t>
      </w:r>
      <w:r w:rsidRPr="009E1F38">
        <w:rPr>
          <w:b/>
        </w:rPr>
        <w:t>ingle uplink operation</w:t>
      </w:r>
      <w:r>
        <w:rPr>
          <w:b/>
        </w:rPr>
        <w:t xml:space="preserve"> shall be limited</w:t>
      </w:r>
      <w:r w:rsidRPr="009E1F38">
        <w:rPr>
          <w:b/>
        </w:rPr>
        <w:t xml:space="preserve"> to FDD</w:t>
      </w:r>
      <w:r>
        <w:rPr>
          <w:b/>
        </w:rPr>
        <w:t xml:space="preserve"> (like with EN-DC)</w:t>
      </w:r>
      <w:r w:rsidRPr="009E1F38">
        <w:rPr>
          <w:b/>
        </w:rPr>
        <w:t xml:space="preserve">. A TDD </w:t>
      </w:r>
      <w:r>
        <w:rPr>
          <w:b/>
        </w:rPr>
        <w:t xml:space="preserve">solution </w:t>
      </w:r>
      <w:r w:rsidRPr="009E1F38">
        <w:rPr>
          <w:b/>
        </w:rPr>
        <w:t xml:space="preserve">is either not needed (intermodulation products create less harm than in FDD), or </w:t>
      </w:r>
      <w:r>
        <w:rPr>
          <w:b/>
        </w:rPr>
        <w:t xml:space="preserve">it </w:t>
      </w:r>
      <w:r w:rsidRPr="009E1F38">
        <w:rPr>
          <w:b/>
        </w:rPr>
        <w:t>would require much more effort than FDD (re-design of HARQ timing).</w:t>
      </w:r>
    </w:p>
    <w:p w14:paraId="0FDCFAC2" w14:textId="17FCBA8A" w:rsidR="00CD4C7B" w:rsidRPr="006E13D1" w:rsidRDefault="00CD4C7B" w:rsidP="00CD4C7B">
      <w:pPr>
        <w:pStyle w:val="Heading1"/>
      </w:pPr>
      <w:r w:rsidRPr="006E13D1">
        <w:t>References</w:t>
      </w:r>
    </w:p>
    <w:p w14:paraId="35F222F4" w14:textId="12B52145" w:rsidR="00080512" w:rsidRDefault="003960B3" w:rsidP="008E4B10">
      <w:pPr>
        <w:numPr>
          <w:ilvl w:val="0"/>
          <w:numId w:val="4"/>
        </w:numPr>
        <w:overflowPunct w:val="0"/>
        <w:autoSpaceDE w:val="0"/>
        <w:autoSpaceDN w:val="0"/>
        <w:adjustRightInd w:val="0"/>
        <w:textAlignment w:val="baseline"/>
      </w:pPr>
      <w:bookmarkStart w:id="6" w:name="_Ref430742"/>
      <w:bookmarkStart w:id="7" w:name="_Ref525555053"/>
      <w:r>
        <w:t xml:space="preserve">R4-19xxxxx </w:t>
      </w:r>
      <w:r w:rsidRPr="00FE4318">
        <w:rPr>
          <w:i/>
        </w:rPr>
        <w:t>Way forward on simultaneous TRX</w:t>
      </w:r>
      <w:r>
        <w:t>, 3GPP TSG-RAN WG4 Meeting #90 Athens, Greece, 25th of February – 1st of March 2019</w:t>
      </w:r>
      <w:bookmarkEnd w:id="6"/>
      <w:bookmarkEnd w:id="7"/>
    </w:p>
    <w:p w14:paraId="421CAD48" w14:textId="78957C5D" w:rsidR="00F60E74" w:rsidRDefault="00F60E74" w:rsidP="00072186">
      <w:pPr>
        <w:numPr>
          <w:ilvl w:val="0"/>
          <w:numId w:val="4"/>
        </w:numPr>
        <w:overflowPunct w:val="0"/>
        <w:autoSpaceDE w:val="0"/>
        <w:autoSpaceDN w:val="0"/>
        <w:adjustRightInd w:val="0"/>
        <w:textAlignment w:val="baseline"/>
      </w:pPr>
      <w:bookmarkStart w:id="8" w:name="_Ref433131"/>
      <w:r>
        <w:t xml:space="preserve">TS 36.211 </w:t>
      </w:r>
      <w:r w:rsidR="00072186" w:rsidRPr="00FE4318">
        <w:rPr>
          <w:i/>
        </w:rPr>
        <w:t>Evolved Universal Terrestrial Radio Access (E-UTRA); Physical channels and modulation</w:t>
      </w:r>
      <w:r w:rsidR="00072186">
        <w:t>, version 15.4.0</w:t>
      </w:r>
      <w:bookmarkEnd w:id="8"/>
    </w:p>
    <w:p w14:paraId="19D0F1BA" w14:textId="1B63061A" w:rsidR="00975A83" w:rsidRDefault="00975A83" w:rsidP="00072186">
      <w:pPr>
        <w:numPr>
          <w:ilvl w:val="0"/>
          <w:numId w:val="4"/>
        </w:numPr>
        <w:overflowPunct w:val="0"/>
        <w:autoSpaceDE w:val="0"/>
        <w:autoSpaceDN w:val="0"/>
        <w:adjustRightInd w:val="0"/>
        <w:textAlignment w:val="baseline"/>
      </w:pPr>
      <w:bookmarkStart w:id="9" w:name="_Ref434303"/>
      <w:r>
        <w:t xml:space="preserve">TR 36.881 </w:t>
      </w:r>
      <w:r w:rsidRPr="00FE4318">
        <w:rPr>
          <w:i/>
        </w:rPr>
        <w:t>Study on latency reduction techniques for LTE</w:t>
      </w:r>
      <w:r>
        <w:t>, v14.0.0</w:t>
      </w:r>
      <w:bookmarkEnd w:id="9"/>
    </w:p>
    <w:p w14:paraId="0C683C74" w14:textId="77777777" w:rsidR="00B51E6E" w:rsidRDefault="00B51E6E" w:rsidP="00B51E6E">
      <w:pPr>
        <w:numPr>
          <w:ilvl w:val="0"/>
          <w:numId w:val="4"/>
        </w:numPr>
        <w:overflowPunct w:val="0"/>
        <w:autoSpaceDE w:val="0"/>
        <w:autoSpaceDN w:val="0"/>
        <w:adjustRightInd w:val="0"/>
        <w:textAlignment w:val="baseline"/>
      </w:pPr>
      <w:bookmarkStart w:id="10" w:name="_Ref3551405"/>
      <w:r>
        <w:t>R2-1900020</w:t>
      </w:r>
      <w:r>
        <w:tab/>
        <w:t>Reply LS on the Interruption time during mobility in LTE (R1-1814411; contact: Qualcomm)</w:t>
      </w:r>
      <w:bookmarkEnd w:id="10"/>
      <w:r>
        <w:tab/>
      </w:r>
    </w:p>
    <w:p w14:paraId="40EDDB74" w14:textId="15E3EC1C" w:rsidR="00B51E6E" w:rsidRPr="00CD4C7B" w:rsidRDefault="00B51E6E" w:rsidP="00B51E6E">
      <w:pPr>
        <w:numPr>
          <w:ilvl w:val="0"/>
          <w:numId w:val="4"/>
        </w:numPr>
        <w:overflowPunct w:val="0"/>
        <w:autoSpaceDE w:val="0"/>
        <w:autoSpaceDN w:val="0"/>
        <w:adjustRightInd w:val="0"/>
        <w:textAlignment w:val="baseline"/>
      </w:pPr>
      <w:bookmarkStart w:id="11" w:name="_Ref3551431"/>
      <w:r>
        <w:t>R2-1902601</w:t>
      </w:r>
      <w:r>
        <w:tab/>
        <w:t xml:space="preserve">Reply LS on the interruption time during mobility in </w:t>
      </w:r>
      <w:proofErr w:type="gramStart"/>
      <w:r>
        <w:t>LTE  (</w:t>
      </w:r>
      <w:proofErr w:type="gramEnd"/>
      <w:r>
        <w:t>R4-1902030; contact: Huawei)</w:t>
      </w:r>
      <w:bookmarkEnd w:id="11"/>
      <w:r>
        <w:tab/>
      </w:r>
    </w:p>
    <w:sectPr w:rsidR="00B51E6E"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94C0F" w14:textId="77777777" w:rsidR="00954030" w:rsidRDefault="00954030">
      <w:r>
        <w:separator/>
      </w:r>
    </w:p>
  </w:endnote>
  <w:endnote w:type="continuationSeparator" w:id="0">
    <w:p w14:paraId="1405388F" w14:textId="77777777" w:rsidR="00954030" w:rsidRDefault="00954030">
      <w:r>
        <w:continuationSeparator/>
      </w:r>
    </w:p>
  </w:endnote>
  <w:endnote w:type="continuationNotice" w:id="1">
    <w:p w14:paraId="646F3E86" w14:textId="77777777" w:rsidR="00954030" w:rsidRDefault="00954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2D56B6" w:rsidRDefault="002D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2D56B6" w:rsidRDefault="002D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2D56B6" w:rsidRDefault="002D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445FE" w14:textId="77777777" w:rsidR="00954030" w:rsidRDefault="00954030">
      <w:r>
        <w:separator/>
      </w:r>
    </w:p>
  </w:footnote>
  <w:footnote w:type="continuationSeparator" w:id="0">
    <w:p w14:paraId="69258D0C" w14:textId="77777777" w:rsidR="00954030" w:rsidRDefault="00954030">
      <w:r>
        <w:continuationSeparator/>
      </w:r>
    </w:p>
  </w:footnote>
  <w:footnote w:type="continuationNotice" w:id="1">
    <w:p w14:paraId="1BBE3E3B" w14:textId="77777777" w:rsidR="00954030" w:rsidRDefault="00954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2D56B6" w:rsidRDefault="002D56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2D56B6" w:rsidRDefault="002D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2D56B6" w:rsidRDefault="002D5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C2837"/>
    <w:multiLevelType w:val="hybridMultilevel"/>
    <w:tmpl w:val="EE50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94D65"/>
    <w:multiLevelType w:val="hybridMultilevel"/>
    <w:tmpl w:val="CD7A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328AF"/>
    <w:multiLevelType w:val="hybridMultilevel"/>
    <w:tmpl w:val="F4E0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FEA5E5A"/>
    <w:multiLevelType w:val="hybridMultilevel"/>
    <w:tmpl w:val="F7063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6971B7"/>
    <w:multiLevelType w:val="hybridMultilevel"/>
    <w:tmpl w:val="932A5A54"/>
    <w:lvl w:ilvl="0" w:tplc="CFB2734C">
      <w:start w:val="1"/>
      <w:numFmt w:val="bullet"/>
      <w:lvlText w:val="•"/>
      <w:lvlJc w:val="left"/>
      <w:pPr>
        <w:tabs>
          <w:tab w:val="num" w:pos="720"/>
        </w:tabs>
        <w:ind w:left="720" w:hanging="360"/>
      </w:pPr>
      <w:rPr>
        <w:rFonts w:ascii="Arial" w:hAnsi="Arial" w:hint="default"/>
      </w:rPr>
    </w:lvl>
    <w:lvl w:ilvl="1" w:tplc="ADC28284">
      <w:start w:val="96"/>
      <w:numFmt w:val="bullet"/>
      <w:lvlText w:val="-"/>
      <w:lvlJc w:val="left"/>
      <w:pPr>
        <w:tabs>
          <w:tab w:val="num" w:pos="1440"/>
        </w:tabs>
        <w:ind w:left="1440" w:hanging="360"/>
      </w:pPr>
      <w:rPr>
        <w:rFonts w:ascii="Lucida Grande" w:hAnsi="Lucida Grande" w:hint="default"/>
      </w:rPr>
    </w:lvl>
    <w:lvl w:ilvl="2" w:tplc="9B1E4F86" w:tentative="1">
      <w:start w:val="1"/>
      <w:numFmt w:val="bullet"/>
      <w:lvlText w:val="•"/>
      <w:lvlJc w:val="left"/>
      <w:pPr>
        <w:tabs>
          <w:tab w:val="num" w:pos="2160"/>
        </w:tabs>
        <w:ind w:left="2160" w:hanging="360"/>
      </w:pPr>
      <w:rPr>
        <w:rFonts w:ascii="Arial" w:hAnsi="Arial" w:hint="default"/>
      </w:rPr>
    </w:lvl>
    <w:lvl w:ilvl="3" w:tplc="310C09FC" w:tentative="1">
      <w:start w:val="1"/>
      <w:numFmt w:val="bullet"/>
      <w:lvlText w:val="•"/>
      <w:lvlJc w:val="left"/>
      <w:pPr>
        <w:tabs>
          <w:tab w:val="num" w:pos="2880"/>
        </w:tabs>
        <w:ind w:left="2880" w:hanging="360"/>
      </w:pPr>
      <w:rPr>
        <w:rFonts w:ascii="Arial" w:hAnsi="Arial" w:hint="default"/>
      </w:rPr>
    </w:lvl>
    <w:lvl w:ilvl="4" w:tplc="6068DF78" w:tentative="1">
      <w:start w:val="1"/>
      <w:numFmt w:val="bullet"/>
      <w:lvlText w:val="•"/>
      <w:lvlJc w:val="left"/>
      <w:pPr>
        <w:tabs>
          <w:tab w:val="num" w:pos="3600"/>
        </w:tabs>
        <w:ind w:left="3600" w:hanging="360"/>
      </w:pPr>
      <w:rPr>
        <w:rFonts w:ascii="Arial" w:hAnsi="Arial" w:hint="default"/>
      </w:rPr>
    </w:lvl>
    <w:lvl w:ilvl="5" w:tplc="988C987C" w:tentative="1">
      <w:start w:val="1"/>
      <w:numFmt w:val="bullet"/>
      <w:lvlText w:val="•"/>
      <w:lvlJc w:val="left"/>
      <w:pPr>
        <w:tabs>
          <w:tab w:val="num" w:pos="4320"/>
        </w:tabs>
        <w:ind w:left="4320" w:hanging="360"/>
      </w:pPr>
      <w:rPr>
        <w:rFonts w:ascii="Arial" w:hAnsi="Arial" w:hint="default"/>
      </w:rPr>
    </w:lvl>
    <w:lvl w:ilvl="6" w:tplc="60FC14E8" w:tentative="1">
      <w:start w:val="1"/>
      <w:numFmt w:val="bullet"/>
      <w:lvlText w:val="•"/>
      <w:lvlJc w:val="left"/>
      <w:pPr>
        <w:tabs>
          <w:tab w:val="num" w:pos="5040"/>
        </w:tabs>
        <w:ind w:left="5040" w:hanging="360"/>
      </w:pPr>
      <w:rPr>
        <w:rFonts w:ascii="Arial" w:hAnsi="Arial" w:hint="default"/>
      </w:rPr>
    </w:lvl>
    <w:lvl w:ilvl="7" w:tplc="62D2B162" w:tentative="1">
      <w:start w:val="1"/>
      <w:numFmt w:val="bullet"/>
      <w:lvlText w:val="•"/>
      <w:lvlJc w:val="left"/>
      <w:pPr>
        <w:tabs>
          <w:tab w:val="num" w:pos="5760"/>
        </w:tabs>
        <w:ind w:left="5760" w:hanging="360"/>
      </w:pPr>
      <w:rPr>
        <w:rFonts w:ascii="Arial" w:hAnsi="Arial" w:hint="default"/>
      </w:rPr>
    </w:lvl>
    <w:lvl w:ilvl="8" w:tplc="85D83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FC747A"/>
    <w:multiLevelType w:val="hybridMultilevel"/>
    <w:tmpl w:val="91FCD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CD17AA"/>
    <w:multiLevelType w:val="hybridMultilevel"/>
    <w:tmpl w:val="124A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61711B"/>
    <w:multiLevelType w:val="hybridMultilevel"/>
    <w:tmpl w:val="E96A2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4384E"/>
    <w:multiLevelType w:val="hybridMultilevel"/>
    <w:tmpl w:val="7900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E7134"/>
    <w:multiLevelType w:val="hybridMultilevel"/>
    <w:tmpl w:val="43A2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1F5384"/>
    <w:multiLevelType w:val="hybridMultilevel"/>
    <w:tmpl w:val="4EAC8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10"/>
  </w:num>
  <w:num w:numId="7">
    <w:abstractNumId w:val="11"/>
  </w:num>
  <w:num w:numId="8">
    <w:abstractNumId w:val="6"/>
  </w:num>
  <w:num w:numId="9">
    <w:abstractNumId w:val="8"/>
  </w:num>
  <w:num w:numId="10">
    <w:abstractNumId w:val="4"/>
  </w:num>
  <w:num w:numId="11">
    <w:abstractNumId w:val="9"/>
  </w:num>
  <w:num w:numId="12">
    <w:abstractNumId w:val="12"/>
  </w:num>
  <w:num w:numId="13">
    <w:abstractNumId w:val="2"/>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6D"/>
    <w:rsid w:val="0000346A"/>
    <w:rsid w:val="00020BA4"/>
    <w:rsid w:val="00033397"/>
    <w:rsid w:val="00034237"/>
    <w:rsid w:val="00040095"/>
    <w:rsid w:val="00041A9B"/>
    <w:rsid w:val="0004234A"/>
    <w:rsid w:val="00052E9F"/>
    <w:rsid w:val="00072186"/>
    <w:rsid w:val="00077114"/>
    <w:rsid w:val="00080512"/>
    <w:rsid w:val="00090468"/>
    <w:rsid w:val="0009666A"/>
    <w:rsid w:val="000B7796"/>
    <w:rsid w:val="000B7BCF"/>
    <w:rsid w:val="000C4AE9"/>
    <w:rsid w:val="000C522B"/>
    <w:rsid w:val="000C5A93"/>
    <w:rsid w:val="000D58AB"/>
    <w:rsid w:val="000D7A50"/>
    <w:rsid w:val="000E7920"/>
    <w:rsid w:val="00110693"/>
    <w:rsid w:val="00112F1A"/>
    <w:rsid w:val="00113A2E"/>
    <w:rsid w:val="00125318"/>
    <w:rsid w:val="00145075"/>
    <w:rsid w:val="001474B7"/>
    <w:rsid w:val="00150964"/>
    <w:rsid w:val="00157418"/>
    <w:rsid w:val="001741A0"/>
    <w:rsid w:val="001746F8"/>
    <w:rsid w:val="00175FA0"/>
    <w:rsid w:val="0018375E"/>
    <w:rsid w:val="00185616"/>
    <w:rsid w:val="0019129B"/>
    <w:rsid w:val="00193BAB"/>
    <w:rsid w:val="00193C19"/>
    <w:rsid w:val="00194CD0"/>
    <w:rsid w:val="00195A07"/>
    <w:rsid w:val="001B2A9A"/>
    <w:rsid w:val="001B49C9"/>
    <w:rsid w:val="001C1376"/>
    <w:rsid w:val="001C4F79"/>
    <w:rsid w:val="001F168B"/>
    <w:rsid w:val="001F7831"/>
    <w:rsid w:val="00204045"/>
    <w:rsid w:val="00204E33"/>
    <w:rsid w:val="0020712B"/>
    <w:rsid w:val="00220857"/>
    <w:rsid w:val="0022606D"/>
    <w:rsid w:val="00227075"/>
    <w:rsid w:val="00231728"/>
    <w:rsid w:val="00245FD2"/>
    <w:rsid w:val="002610D8"/>
    <w:rsid w:val="0026462D"/>
    <w:rsid w:val="002747EC"/>
    <w:rsid w:val="002770D4"/>
    <w:rsid w:val="002855BF"/>
    <w:rsid w:val="00295EB2"/>
    <w:rsid w:val="002A664A"/>
    <w:rsid w:val="002B7CFD"/>
    <w:rsid w:val="002D4140"/>
    <w:rsid w:val="002D56B6"/>
    <w:rsid w:val="002F0D22"/>
    <w:rsid w:val="003011A3"/>
    <w:rsid w:val="003028D7"/>
    <w:rsid w:val="00304540"/>
    <w:rsid w:val="003172DC"/>
    <w:rsid w:val="00323F45"/>
    <w:rsid w:val="00325AE3"/>
    <w:rsid w:val="00326069"/>
    <w:rsid w:val="0034159F"/>
    <w:rsid w:val="0035462D"/>
    <w:rsid w:val="00361AA0"/>
    <w:rsid w:val="003630E3"/>
    <w:rsid w:val="00364B41"/>
    <w:rsid w:val="00365A31"/>
    <w:rsid w:val="003670DA"/>
    <w:rsid w:val="0037098B"/>
    <w:rsid w:val="003960B3"/>
    <w:rsid w:val="003A41EF"/>
    <w:rsid w:val="003B40AD"/>
    <w:rsid w:val="003C4E37"/>
    <w:rsid w:val="003D5E08"/>
    <w:rsid w:val="003D7672"/>
    <w:rsid w:val="003E16BE"/>
    <w:rsid w:val="003F257B"/>
    <w:rsid w:val="003F4E28"/>
    <w:rsid w:val="004006E8"/>
    <w:rsid w:val="00401855"/>
    <w:rsid w:val="0041047C"/>
    <w:rsid w:val="00414088"/>
    <w:rsid w:val="0046733B"/>
    <w:rsid w:val="004745D8"/>
    <w:rsid w:val="00476C6C"/>
    <w:rsid w:val="00477455"/>
    <w:rsid w:val="00482007"/>
    <w:rsid w:val="004828E5"/>
    <w:rsid w:val="004A1F7B"/>
    <w:rsid w:val="004C44D2"/>
    <w:rsid w:val="004D16B2"/>
    <w:rsid w:val="004D3578"/>
    <w:rsid w:val="004D380D"/>
    <w:rsid w:val="004E213A"/>
    <w:rsid w:val="004E60C2"/>
    <w:rsid w:val="004F0A9C"/>
    <w:rsid w:val="004F4778"/>
    <w:rsid w:val="005022B8"/>
    <w:rsid w:val="00503171"/>
    <w:rsid w:val="00506C28"/>
    <w:rsid w:val="00510FAD"/>
    <w:rsid w:val="005239B2"/>
    <w:rsid w:val="00531008"/>
    <w:rsid w:val="00531F13"/>
    <w:rsid w:val="00534DA0"/>
    <w:rsid w:val="005425D0"/>
    <w:rsid w:val="00543E6C"/>
    <w:rsid w:val="0054507B"/>
    <w:rsid w:val="00565087"/>
    <w:rsid w:val="0056573F"/>
    <w:rsid w:val="00570B6F"/>
    <w:rsid w:val="00571C63"/>
    <w:rsid w:val="00572F0D"/>
    <w:rsid w:val="005A1C12"/>
    <w:rsid w:val="005A6A03"/>
    <w:rsid w:val="005E22DB"/>
    <w:rsid w:val="0060564D"/>
    <w:rsid w:val="00611566"/>
    <w:rsid w:val="00646D99"/>
    <w:rsid w:val="006567CB"/>
    <w:rsid w:val="00656910"/>
    <w:rsid w:val="0069266C"/>
    <w:rsid w:val="006965A0"/>
    <w:rsid w:val="006B1B9E"/>
    <w:rsid w:val="006C39DC"/>
    <w:rsid w:val="006C66D8"/>
    <w:rsid w:val="006D1E24"/>
    <w:rsid w:val="006D781C"/>
    <w:rsid w:val="006E1417"/>
    <w:rsid w:val="006E1A92"/>
    <w:rsid w:val="006E509C"/>
    <w:rsid w:val="006F026E"/>
    <w:rsid w:val="006F6A2C"/>
    <w:rsid w:val="00705A1C"/>
    <w:rsid w:val="00710201"/>
    <w:rsid w:val="00715818"/>
    <w:rsid w:val="0072480D"/>
    <w:rsid w:val="007258CD"/>
    <w:rsid w:val="007342B5"/>
    <w:rsid w:val="00734A5B"/>
    <w:rsid w:val="0074450F"/>
    <w:rsid w:val="00744E76"/>
    <w:rsid w:val="00746945"/>
    <w:rsid w:val="00747767"/>
    <w:rsid w:val="00757D40"/>
    <w:rsid w:val="007767EC"/>
    <w:rsid w:val="00781F0F"/>
    <w:rsid w:val="007842B9"/>
    <w:rsid w:val="0078727C"/>
    <w:rsid w:val="00787C8D"/>
    <w:rsid w:val="0079049D"/>
    <w:rsid w:val="00793DC5"/>
    <w:rsid w:val="007B18D8"/>
    <w:rsid w:val="007C095F"/>
    <w:rsid w:val="007C2DD0"/>
    <w:rsid w:val="007C716A"/>
    <w:rsid w:val="008020E9"/>
    <w:rsid w:val="008028A4"/>
    <w:rsid w:val="00804B73"/>
    <w:rsid w:val="00813245"/>
    <w:rsid w:val="00831167"/>
    <w:rsid w:val="00845EF6"/>
    <w:rsid w:val="00855488"/>
    <w:rsid w:val="00864A02"/>
    <w:rsid w:val="0086638C"/>
    <w:rsid w:val="00871C2D"/>
    <w:rsid w:val="008768CA"/>
    <w:rsid w:val="00877EF9"/>
    <w:rsid w:val="00880559"/>
    <w:rsid w:val="00897007"/>
    <w:rsid w:val="008B5306"/>
    <w:rsid w:val="008B5CFC"/>
    <w:rsid w:val="008C3989"/>
    <w:rsid w:val="008C5B31"/>
    <w:rsid w:val="008C6E4D"/>
    <w:rsid w:val="008D2E4D"/>
    <w:rsid w:val="008D41F7"/>
    <w:rsid w:val="008E4B10"/>
    <w:rsid w:val="008E5F3C"/>
    <w:rsid w:val="008F396F"/>
    <w:rsid w:val="00901BF0"/>
    <w:rsid w:val="0090271F"/>
    <w:rsid w:val="00902DB9"/>
    <w:rsid w:val="00903AB3"/>
    <w:rsid w:val="0090466A"/>
    <w:rsid w:val="00906D13"/>
    <w:rsid w:val="0092239B"/>
    <w:rsid w:val="009330D7"/>
    <w:rsid w:val="00936071"/>
    <w:rsid w:val="00940212"/>
    <w:rsid w:val="00942EC2"/>
    <w:rsid w:val="009439CA"/>
    <w:rsid w:val="00954030"/>
    <w:rsid w:val="00960859"/>
    <w:rsid w:val="00961B32"/>
    <w:rsid w:val="0096411D"/>
    <w:rsid w:val="00970DB3"/>
    <w:rsid w:val="00973C4A"/>
    <w:rsid w:val="00974BB0"/>
    <w:rsid w:val="009759D0"/>
    <w:rsid w:val="00975A83"/>
    <w:rsid w:val="009828C4"/>
    <w:rsid w:val="0099257A"/>
    <w:rsid w:val="009A09BA"/>
    <w:rsid w:val="009A0AF3"/>
    <w:rsid w:val="009B07CD"/>
    <w:rsid w:val="009B1AB2"/>
    <w:rsid w:val="009C19E9"/>
    <w:rsid w:val="009C64D2"/>
    <w:rsid w:val="009D4D6D"/>
    <w:rsid w:val="009D571B"/>
    <w:rsid w:val="009D74A6"/>
    <w:rsid w:val="009E1F38"/>
    <w:rsid w:val="009E533C"/>
    <w:rsid w:val="009F27CD"/>
    <w:rsid w:val="00A10F02"/>
    <w:rsid w:val="00A204CA"/>
    <w:rsid w:val="00A32A56"/>
    <w:rsid w:val="00A5081B"/>
    <w:rsid w:val="00A521C4"/>
    <w:rsid w:val="00A53724"/>
    <w:rsid w:val="00A652D0"/>
    <w:rsid w:val="00A82346"/>
    <w:rsid w:val="00A83A28"/>
    <w:rsid w:val="00A87555"/>
    <w:rsid w:val="00A93544"/>
    <w:rsid w:val="00A9671C"/>
    <w:rsid w:val="00AA1553"/>
    <w:rsid w:val="00AA2EC8"/>
    <w:rsid w:val="00AA325A"/>
    <w:rsid w:val="00AE6FEB"/>
    <w:rsid w:val="00AE7BFB"/>
    <w:rsid w:val="00AF7A1C"/>
    <w:rsid w:val="00B01FA9"/>
    <w:rsid w:val="00B05962"/>
    <w:rsid w:val="00B110E6"/>
    <w:rsid w:val="00B15449"/>
    <w:rsid w:val="00B27303"/>
    <w:rsid w:val="00B473E5"/>
    <w:rsid w:val="00B47FD1"/>
    <w:rsid w:val="00B516BB"/>
    <w:rsid w:val="00B51E6E"/>
    <w:rsid w:val="00B62F57"/>
    <w:rsid w:val="00B865EF"/>
    <w:rsid w:val="00BC3555"/>
    <w:rsid w:val="00BD130E"/>
    <w:rsid w:val="00BD1D8E"/>
    <w:rsid w:val="00BE4213"/>
    <w:rsid w:val="00BE77B8"/>
    <w:rsid w:val="00BF15A1"/>
    <w:rsid w:val="00C1206D"/>
    <w:rsid w:val="00C12B51"/>
    <w:rsid w:val="00C14B52"/>
    <w:rsid w:val="00C24650"/>
    <w:rsid w:val="00C25465"/>
    <w:rsid w:val="00C272F7"/>
    <w:rsid w:val="00C32D0A"/>
    <w:rsid w:val="00C33079"/>
    <w:rsid w:val="00C36C0D"/>
    <w:rsid w:val="00C50DCC"/>
    <w:rsid w:val="00C5478C"/>
    <w:rsid w:val="00C83A13"/>
    <w:rsid w:val="00C85AC6"/>
    <w:rsid w:val="00C9068C"/>
    <w:rsid w:val="00C90D26"/>
    <w:rsid w:val="00C92967"/>
    <w:rsid w:val="00C95C60"/>
    <w:rsid w:val="00CA3D0C"/>
    <w:rsid w:val="00CA654B"/>
    <w:rsid w:val="00CA70AE"/>
    <w:rsid w:val="00CB72B8"/>
    <w:rsid w:val="00CD4C7B"/>
    <w:rsid w:val="00CF4C0F"/>
    <w:rsid w:val="00D03604"/>
    <w:rsid w:val="00D0393B"/>
    <w:rsid w:val="00D0657B"/>
    <w:rsid w:val="00D17614"/>
    <w:rsid w:val="00D204EC"/>
    <w:rsid w:val="00D21C8D"/>
    <w:rsid w:val="00D32FF8"/>
    <w:rsid w:val="00D33BE3"/>
    <w:rsid w:val="00D3792D"/>
    <w:rsid w:val="00D410BB"/>
    <w:rsid w:val="00D42493"/>
    <w:rsid w:val="00D51265"/>
    <w:rsid w:val="00D55E47"/>
    <w:rsid w:val="00D62E19"/>
    <w:rsid w:val="00D67CD1"/>
    <w:rsid w:val="00D738D6"/>
    <w:rsid w:val="00D757EB"/>
    <w:rsid w:val="00D76ED3"/>
    <w:rsid w:val="00D80795"/>
    <w:rsid w:val="00D854BE"/>
    <w:rsid w:val="00D87E00"/>
    <w:rsid w:val="00D9134D"/>
    <w:rsid w:val="00D96D11"/>
    <w:rsid w:val="00DA096C"/>
    <w:rsid w:val="00DA7A03"/>
    <w:rsid w:val="00DB0DB8"/>
    <w:rsid w:val="00DB1818"/>
    <w:rsid w:val="00DB3AF2"/>
    <w:rsid w:val="00DB6676"/>
    <w:rsid w:val="00DC309B"/>
    <w:rsid w:val="00DC4DA2"/>
    <w:rsid w:val="00E103D3"/>
    <w:rsid w:val="00E41300"/>
    <w:rsid w:val="00E471CF"/>
    <w:rsid w:val="00E55E28"/>
    <w:rsid w:val="00E62835"/>
    <w:rsid w:val="00E77645"/>
    <w:rsid w:val="00E83697"/>
    <w:rsid w:val="00E91F31"/>
    <w:rsid w:val="00E96710"/>
    <w:rsid w:val="00EA39ED"/>
    <w:rsid w:val="00EB25E0"/>
    <w:rsid w:val="00EB329D"/>
    <w:rsid w:val="00EC4A25"/>
    <w:rsid w:val="00EC6C2B"/>
    <w:rsid w:val="00ED4E2A"/>
    <w:rsid w:val="00EE25F4"/>
    <w:rsid w:val="00EF5ADA"/>
    <w:rsid w:val="00F01BB0"/>
    <w:rsid w:val="00F025A2"/>
    <w:rsid w:val="00F07388"/>
    <w:rsid w:val="00F12A89"/>
    <w:rsid w:val="00F17528"/>
    <w:rsid w:val="00F2026E"/>
    <w:rsid w:val="00F2210A"/>
    <w:rsid w:val="00F33077"/>
    <w:rsid w:val="00F37743"/>
    <w:rsid w:val="00F54A3D"/>
    <w:rsid w:val="00F54CB0"/>
    <w:rsid w:val="00F60E74"/>
    <w:rsid w:val="00F65334"/>
    <w:rsid w:val="00F653B8"/>
    <w:rsid w:val="00F66F1C"/>
    <w:rsid w:val="00F71B89"/>
    <w:rsid w:val="00F7353C"/>
    <w:rsid w:val="00F74381"/>
    <w:rsid w:val="00F76E7E"/>
    <w:rsid w:val="00F76F8F"/>
    <w:rsid w:val="00F86DB0"/>
    <w:rsid w:val="00F923A7"/>
    <w:rsid w:val="00F941DF"/>
    <w:rsid w:val="00FA04AE"/>
    <w:rsid w:val="00FA1266"/>
    <w:rsid w:val="00FB36FA"/>
    <w:rsid w:val="00FC1192"/>
    <w:rsid w:val="00FC4BFE"/>
    <w:rsid w:val="00FD41C7"/>
    <w:rsid w:val="00FE251B"/>
    <w:rsid w:val="00FE4318"/>
    <w:rsid w:val="00FF79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13A2E"/>
    <w:rPr>
      <w:rFonts w:ascii="Arial" w:eastAsia="MS Mincho" w:hAnsi="Arial" w:cs="Arial"/>
      <w:szCs w:val="24"/>
    </w:rPr>
  </w:style>
  <w:style w:type="paragraph" w:customStyle="1" w:styleId="Doc-text2">
    <w:name w:val="Doc-text2"/>
    <w:basedOn w:val="Normal"/>
    <w:link w:val="Doc-text2Char"/>
    <w:qFormat/>
    <w:rsid w:val="00113A2E"/>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B110E6"/>
    <w:pPr>
      <w:spacing w:after="200"/>
    </w:pPr>
    <w:rPr>
      <w:i/>
      <w:iCs/>
      <w:color w:val="44546A" w:themeColor="text2"/>
      <w:sz w:val="18"/>
      <w:szCs w:val="18"/>
    </w:rPr>
  </w:style>
  <w:style w:type="character" w:styleId="CommentReference">
    <w:name w:val="annotation reference"/>
    <w:basedOn w:val="DefaultParagraphFont"/>
    <w:rsid w:val="00A87555"/>
    <w:rPr>
      <w:sz w:val="16"/>
      <w:szCs w:val="16"/>
    </w:rPr>
  </w:style>
  <w:style w:type="paragraph" w:styleId="CommentText">
    <w:name w:val="annotation text"/>
    <w:basedOn w:val="Normal"/>
    <w:link w:val="CommentTextChar"/>
    <w:rsid w:val="00A87555"/>
  </w:style>
  <w:style w:type="character" w:customStyle="1" w:styleId="CommentTextChar">
    <w:name w:val="Comment Text Char"/>
    <w:basedOn w:val="DefaultParagraphFont"/>
    <w:link w:val="CommentText"/>
    <w:rsid w:val="00A87555"/>
    <w:rPr>
      <w:lang w:eastAsia="en-US"/>
    </w:rPr>
  </w:style>
  <w:style w:type="paragraph" w:styleId="CommentSubject">
    <w:name w:val="annotation subject"/>
    <w:basedOn w:val="CommentText"/>
    <w:next w:val="CommentText"/>
    <w:link w:val="CommentSubjectChar"/>
    <w:rsid w:val="00A87555"/>
    <w:rPr>
      <w:b/>
      <w:bCs/>
    </w:rPr>
  </w:style>
  <w:style w:type="character" w:customStyle="1" w:styleId="CommentSubjectChar">
    <w:name w:val="Comment Subject Char"/>
    <w:basedOn w:val="CommentTextChar"/>
    <w:link w:val="CommentSubject"/>
    <w:rsid w:val="00A875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0594092">
      <w:bodyDiv w:val="1"/>
      <w:marLeft w:val="0"/>
      <w:marRight w:val="0"/>
      <w:marTop w:val="0"/>
      <w:marBottom w:val="0"/>
      <w:divBdr>
        <w:top w:val="none" w:sz="0" w:space="0" w:color="auto"/>
        <w:left w:val="none" w:sz="0" w:space="0" w:color="auto"/>
        <w:bottom w:val="none" w:sz="0" w:space="0" w:color="auto"/>
        <w:right w:val="none" w:sz="0" w:space="0" w:color="auto"/>
      </w:divBdr>
      <w:divsChild>
        <w:div w:id="705984065">
          <w:marLeft w:val="360"/>
          <w:marRight w:val="0"/>
          <w:marTop w:val="0"/>
          <w:marBottom w:val="120"/>
          <w:divBdr>
            <w:top w:val="none" w:sz="0" w:space="0" w:color="auto"/>
            <w:left w:val="none" w:sz="0" w:space="0" w:color="auto"/>
            <w:bottom w:val="none" w:sz="0" w:space="0" w:color="auto"/>
            <w:right w:val="none" w:sz="0" w:space="0" w:color="auto"/>
          </w:divBdr>
        </w:div>
        <w:div w:id="1565985529">
          <w:marLeft w:val="720"/>
          <w:marRight w:val="0"/>
          <w:marTop w:val="0"/>
          <w:marBottom w:val="120"/>
          <w:divBdr>
            <w:top w:val="none" w:sz="0" w:space="0" w:color="auto"/>
            <w:left w:val="none" w:sz="0" w:space="0" w:color="auto"/>
            <w:bottom w:val="none" w:sz="0" w:space="0" w:color="auto"/>
            <w:right w:val="none" w:sz="0" w:space="0" w:color="auto"/>
          </w:divBdr>
        </w:div>
        <w:div w:id="2077511783">
          <w:marLeft w:val="360"/>
          <w:marRight w:val="0"/>
          <w:marTop w:val="0"/>
          <w:marBottom w:val="120"/>
          <w:divBdr>
            <w:top w:val="none" w:sz="0" w:space="0" w:color="auto"/>
            <w:left w:val="none" w:sz="0" w:space="0" w:color="auto"/>
            <w:bottom w:val="none" w:sz="0" w:space="0" w:color="auto"/>
            <w:right w:val="none" w:sz="0" w:space="0" w:color="auto"/>
          </w:divBdr>
        </w:div>
        <w:div w:id="1926526166">
          <w:marLeft w:val="720"/>
          <w:marRight w:val="0"/>
          <w:marTop w:val="0"/>
          <w:marBottom w:val="120"/>
          <w:divBdr>
            <w:top w:val="none" w:sz="0" w:space="0" w:color="auto"/>
            <w:left w:val="none" w:sz="0" w:space="0" w:color="auto"/>
            <w:bottom w:val="none" w:sz="0" w:space="0" w:color="auto"/>
            <w:right w:val="none" w:sz="0" w:space="0" w:color="auto"/>
          </w:divBdr>
        </w:div>
        <w:div w:id="259141399">
          <w:marLeft w:val="720"/>
          <w:marRight w:val="0"/>
          <w:marTop w:val="0"/>
          <w:marBottom w:val="120"/>
          <w:divBdr>
            <w:top w:val="none" w:sz="0" w:space="0" w:color="auto"/>
            <w:left w:val="none" w:sz="0" w:space="0" w:color="auto"/>
            <w:bottom w:val="none" w:sz="0" w:space="0" w:color="auto"/>
            <w:right w:val="none" w:sz="0" w:space="0" w:color="auto"/>
          </w:divBdr>
        </w:div>
        <w:div w:id="1338995689">
          <w:marLeft w:val="360"/>
          <w:marRight w:val="0"/>
          <w:marTop w:val="0"/>
          <w:marBottom w:val="120"/>
          <w:divBdr>
            <w:top w:val="none" w:sz="0" w:space="0" w:color="auto"/>
            <w:left w:val="none" w:sz="0" w:space="0" w:color="auto"/>
            <w:bottom w:val="none" w:sz="0" w:space="0" w:color="auto"/>
            <w:right w:val="none" w:sz="0" w:space="0" w:color="auto"/>
          </w:divBdr>
        </w:div>
        <w:div w:id="1425609709">
          <w:marLeft w:val="360"/>
          <w:marRight w:val="0"/>
          <w:marTop w:val="0"/>
          <w:marBottom w:val="120"/>
          <w:divBdr>
            <w:top w:val="none" w:sz="0" w:space="0" w:color="auto"/>
            <w:left w:val="none" w:sz="0" w:space="0" w:color="auto"/>
            <w:bottom w:val="none" w:sz="0" w:space="0" w:color="auto"/>
            <w:right w:val="none" w:sz="0" w:space="0" w:color="auto"/>
          </w:divBdr>
        </w:div>
        <w:div w:id="884098677">
          <w:marLeft w:val="720"/>
          <w:marRight w:val="0"/>
          <w:marTop w:val="0"/>
          <w:marBottom w:val="120"/>
          <w:divBdr>
            <w:top w:val="none" w:sz="0" w:space="0" w:color="auto"/>
            <w:left w:val="none" w:sz="0" w:space="0" w:color="auto"/>
            <w:bottom w:val="none" w:sz="0" w:space="0" w:color="auto"/>
            <w:right w:val="none" w:sz="0" w:space="0" w:color="auto"/>
          </w:divBdr>
        </w:div>
        <w:div w:id="531265225">
          <w:marLeft w:val="720"/>
          <w:marRight w:val="0"/>
          <w:marTop w:val="0"/>
          <w:marBottom w:val="120"/>
          <w:divBdr>
            <w:top w:val="none" w:sz="0" w:space="0" w:color="auto"/>
            <w:left w:val="none" w:sz="0" w:space="0" w:color="auto"/>
            <w:bottom w:val="none" w:sz="0" w:space="0" w:color="auto"/>
            <w:right w:val="none" w:sz="0" w:space="0" w:color="auto"/>
          </w:divBdr>
        </w:div>
      </w:divsChild>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 w:id="2100329920">
      <w:bodyDiv w:val="1"/>
      <w:marLeft w:val="0"/>
      <w:marRight w:val="0"/>
      <w:marTop w:val="0"/>
      <w:marBottom w:val="0"/>
      <w:divBdr>
        <w:top w:val="none" w:sz="0" w:space="0" w:color="auto"/>
        <w:left w:val="none" w:sz="0" w:space="0" w:color="auto"/>
        <w:bottom w:val="none" w:sz="0" w:space="0" w:color="auto"/>
        <w:right w:val="none" w:sz="0" w:space="0" w:color="auto"/>
      </w:divBdr>
      <w:divsChild>
        <w:div w:id="82847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5AIRPNAIUNRU-859666464-5120</_dlc_DocId>
    <_dlc_DocIdUrl xmlns="71c5aaf6-e6ce-465b-b873-5148d2a4c105">
      <Url>https://nokia.sharepoint.com/sites/c5g/e2earch/_layouts/15/DocIdRedir.aspx?ID=5AIRPNAIUNRU-859666464-5120</Url>
      <Description>5AIRPNAIUNRU-859666464-5120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a3840f4f-04be-43d1-b2ef-6ff1382503c7"/>
    <ds:schemaRef ds:uri="71c5aaf6-e6ce-465b-b873-5148d2a4c105"/>
    <ds:schemaRef ds:uri="http://www.w3.org/XML/1998/namespac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18DC2B0-DBCE-4FE3-B654-4D1AFABC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1333</TotalTime>
  <Pages>5</Pages>
  <Words>2577</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10</cp:revision>
  <dcterms:created xsi:type="dcterms:W3CDTF">2019-03-14T06:53:00Z</dcterms:created>
  <dcterms:modified xsi:type="dcterms:W3CDTF">2019-05-02T21:09:00Z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91cb6e78-650f-4d57-b452-bf4875faa542</vt:lpwstr>
  </property>
  <property fmtid="{D5CDD505-2E9C-101B-9397-08002B2CF9AE}" pid="4" name="AuthorIds_UIVersion_6144">
    <vt:lpwstr>723</vt:lpwstr>
  </property>
  <property fmtid="{D5CDD505-2E9C-101B-9397-08002B2CF9AE}" pid="5" name="AuthorIds_UIVersion_7680">
    <vt:lpwstr>723</vt:lpwstr>
  </property>
  <property fmtid="{D5CDD505-2E9C-101B-9397-08002B2CF9AE}" pid="6" name="AuthorIds_UIVersion_512">
    <vt:lpwstr>723</vt:lpwstr>
  </property>
  <property fmtid="{D5CDD505-2E9C-101B-9397-08002B2CF9AE}" pid="7" name="AuthorIds_UIVersion_2048">
    <vt:lpwstr>723</vt:lpwstr>
  </property>
</Properties>
</file>